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CA658" w14:textId="77777777" w:rsidR="00AD4A87" w:rsidRDefault="00AD4A87" w:rsidP="00AD4A87">
      <w:pPr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  <w:lang w:val="en-US"/>
        </w:rPr>
        <w:t>VIII</w:t>
      </w:r>
      <w:r w:rsidRPr="00916D68">
        <w:rPr>
          <w:rFonts w:ascii="Garamond" w:hAnsi="Garamond" w:cs="Tahoma"/>
          <w:b/>
          <w:sz w:val="28"/>
          <w:szCs w:val="28"/>
        </w:rPr>
        <w:t xml:space="preserve">.1. </w:t>
      </w:r>
      <w:r w:rsidRPr="00703A3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0" w:name="_Hlk90566028"/>
      <w:r w:rsidRPr="00703A3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r w:rsidRPr="00703A33">
        <w:rPr>
          <w:rFonts w:ascii="Garamond" w:hAnsi="Garamond" w:cs="Tahoma"/>
          <w:b/>
          <w:sz w:val="28"/>
          <w:szCs w:val="28"/>
        </w:rPr>
        <w:t>с</w:t>
      </w:r>
      <w:bookmarkEnd w:id="1"/>
      <w:r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r>
        <w:rPr>
          <w:rFonts w:ascii="Garamond" w:hAnsi="Garamond" w:cs="Tahoma"/>
          <w:b/>
          <w:sz w:val="28"/>
          <w:szCs w:val="28"/>
        </w:rPr>
        <w:t xml:space="preserve">детализацией порядка </w:t>
      </w:r>
      <w:r w:rsidRPr="00A61E68">
        <w:rPr>
          <w:rFonts w:ascii="Garamond" w:hAnsi="Garamond" w:cs="Tahoma"/>
          <w:b/>
          <w:sz w:val="28"/>
          <w:szCs w:val="28"/>
        </w:rPr>
        <w:t xml:space="preserve">формирования </w:t>
      </w:r>
      <w:r>
        <w:rPr>
          <w:rFonts w:ascii="Garamond" w:hAnsi="Garamond" w:cs="Tahoma"/>
          <w:b/>
          <w:sz w:val="28"/>
          <w:szCs w:val="28"/>
        </w:rPr>
        <w:t>объемов ИВА</w:t>
      </w:r>
    </w:p>
    <w:p w14:paraId="09B66AB1" w14:textId="77777777" w:rsidR="00AD4A87" w:rsidRDefault="00AD4A87" w:rsidP="00AD4A87">
      <w:pPr>
        <w:jc w:val="both"/>
        <w:rPr>
          <w:rFonts w:ascii="Garamond" w:hAnsi="Garamond" w:cs="Tahoma"/>
          <w:b/>
          <w:sz w:val="28"/>
          <w:szCs w:val="28"/>
        </w:rPr>
      </w:pPr>
    </w:p>
    <w:p w14:paraId="3627D148" w14:textId="77777777" w:rsidR="00AD4A87" w:rsidRDefault="00AD4A87" w:rsidP="00AD4A87">
      <w:pPr>
        <w:ind w:right="111"/>
        <w:jc w:val="right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Приложение № 8.1</w:t>
      </w:r>
    </w:p>
    <w:p w14:paraId="53EB13E0" w14:textId="77777777" w:rsidR="00BA16F3" w:rsidRPr="00A82A7B" w:rsidRDefault="00BA16F3" w:rsidP="00BA16F3">
      <w:pPr>
        <w:jc w:val="both"/>
        <w:rPr>
          <w:rFonts w:ascii="Garamond" w:hAnsi="Garamond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BA16F3" w:rsidRPr="002B5432" w14:paraId="71D22C3D" w14:textId="77777777" w:rsidTr="00D30CD1">
        <w:trPr>
          <w:trHeight w:val="928"/>
        </w:trPr>
        <w:tc>
          <w:tcPr>
            <w:tcW w:w="15021" w:type="dxa"/>
          </w:tcPr>
          <w:p w14:paraId="7C666312" w14:textId="57075A9A" w:rsidR="00BA16F3" w:rsidRPr="004E619F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>
              <w:rPr>
                <w:rFonts w:ascii="Garamond" w:hAnsi="Garamond"/>
                <w:szCs w:val="20"/>
              </w:rPr>
              <w:t>АО «СО ЕЭС»</w:t>
            </w:r>
            <w:r w:rsidR="00B871F2">
              <w:rPr>
                <w:rFonts w:ascii="Garamond" w:hAnsi="Garamond"/>
                <w:szCs w:val="20"/>
              </w:rPr>
              <w:t>.</w:t>
            </w:r>
          </w:p>
          <w:p w14:paraId="7EF39C8D" w14:textId="77777777" w:rsidR="00BA16F3" w:rsidRPr="001F5F88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bookmarkStart w:id="2" w:name="_Hlk90566054"/>
            <w:r>
              <w:rPr>
                <w:rFonts w:ascii="Garamond" w:hAnsi="Garamond"/>
                <w:szCs w:val="20"/>
              </w:rPr>
              <w:t xml:space="preserve">детализация </w:t>
            </w:r>
            <w:bookmarkEnd w:id="2"/>
            <w:r>
              <w:rPr>
                <w:rFonts w:ascii="Garamond" w:hAnsi="Garamond"/>
                <w:szCs w:val="20"/>
              </w:rPr>
              <w:t>порядка формирования объемов</w:t>
            </w:r>
            <w:r w:rsidR="004C43AD">
              <w:rPr>
                <w:rFonts w:ascii="Garamond" w:hAnsi="Garamond"/>
                <w:szCs w:val="20"/>
              </w:rPr>
              <w:t xml:space="preserve"> И</w:t>
            </w:r>
            <w:r w:rsidR="00E001C9">
              <w:rPr>
                <w:rFonts w:ascii="Garamond" w:hAnsi="Garamond"/>
                <w:szCs w:val="20"/>
              </w:rPr>
              <w:t>В</w:t>
            </w:r>
            <w:r w:rsidR="003162D6">
              <w:rPr>
                <w:rFonts w:ascii="Garamond" w:hAnsi="Garamond"/>
                <w:szCs w:val="20"/>
              </w:rPr>
              <w:t xml:space="preserve">А в отношении </w:t>
            </w:r>
            <w:r w:rsidR="003162D6" w:rsidRPr="003162D6">
              <w:rPr>
                <w:rFonts w:ascii="Garamond" w:hAnsi="Garamond"/>
                <w:szCs w:val="20"/>
              </w:rPr>
              <w:t>солнечных и ветровых электростанций</w:t>
            </w:r>
            <w:r w:rsidR="003162D6">
              <w:rPr>
                <w:rFonts w:ascii="Garamond" w:hAnsi="Garamond"/>
                <w:szCs w:val="20"/>
              </w:rPr>
              <w:t xml:space="preserve">, </w:t>
            </w:r>
            <w:r w:rsidR="001A2E4C" w:rsidRPr="001A2E4C">
              <w:rPr>
                <w:rFonts w:ascii="Garamond" w:hAnsi="Garamond"/>
                <w:szCs w:val="20"/>
              </w:rPr>
              <w:t>работающих под воздействием АРЧМ</w:t>
            </w:r>
            <w:r w:rsidR="00E001C9">
              <w:rPr>
                <w:rFonts w:ascii="Garamond" w:hAnsi="Garamond"/>
                <w:szCs w:val="20"/>
              </w:rPr>
              <w:t>, а также правки технического характера</w:t>
            </w:r>
            <w:r>
              <w:rPr>
                <w:rFonts w:ascii="Garamond" w:hAnsi="Garamond"/>
                <w:szCs w:val="20"/>
              </w:rPr>
              <w:t>.</w:t>
            </w:r>
          </w:p>
          <w:p w14:paraId="62C9C688" w14:textId="7A40592D" w:rsidR="00BA16F3" w:rsidRPr="004E4A36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>ата вступления в силу</w:t>
            </w:r>
            <w:r w:rsidRPr="004E4A36">
              <w:rPr>
                <w:rFonts w:ascii="Garamond" w:hAnsi="Garamond"/>
                <w:b/>
                <w:szCs w:val="20"/>
              </w:rPr>
              <w:t>:</w:t>
            </w:r>
            <w:r w:rsidRPr="004E4A36">
              <w:rPr>
                <w:rFonts w:ascii="Garamond" w:hAnsi="Garamond"/>
                <w:szCs w:val="20"/>
              </w:rPr>
              <w:t xml:space="preserve"> </w:t>
            </w:r>
            <w:r w:rsidR="00AD4A87" w:rsidRPr="00AD4A87">
              <w:rPr>
                <w:rFonts w:ascii="Garamond" w:hAnsi="Garamond"/>
                <w:szCs w:val="20"/>
              </w:rPr>
              <w:t>с 23 января 2023 года и распространяют свое действие на отношения сторон по Договору о присоединении к торговой системе оптового рынка, возникшие с 1 января 2023 года.</w:t>
            </w:r>
          </w:p>
        </w:tc>
      </w:tr>
    </w:tbl>
    <w:p w14:paraId="0E58484F" w14:textId="77777777" w:rsidR="00B871F2" w:rsidRDefault="00B871F2" w:rsidP="00B871F2">
      <w:pPr>
        <w:pStyle w:val="2"/>
      </w:pPr>
    </w:p>
    <w:p w14:paraId="26F82263" w14:textId="34D945D2" w:rsidR="00BA16F3" w:rsidRPr="00B871F2" w:rsidRDefault="00BA16F3" w:rsidP="00B871F2">
      <w:pPr>
        <w:pStyle w:val="2"/>
        <w:rPr>
          <w:sz w:val="26"/>
          <w:szCs w:val="26"/>
        </w:rPr>
      </w:pPr>
      <w:r w:rsidRPr="00B871F2">
        <w:rPr>
          <w:sz w:val="26"/>
          <w:szCs w:val="26"/>
        </w:rPr>
        <w:t>Предложения по изменениям и дополнениям в РЕГЛАМЕНТ ОПРЕДЕЛЕНИЯ ОБЪЕМОВ, ИНИЦИАТИВ И СТОИМОСТИ ОТКЛОНЕНИЙ (Приложение № 12 к Договору о присоединении к торговой системе оптового рынка)</w:t>
      </w:r>
    </w:p>
    <w:p w14:paraId="184BFE1E" w14:textId="77777777" w:rsidR="00FB4B02" w:rsidRPr="00B44E07" w:rsidRDefault="00FB4B02" w:rsidP="00BA16F3">
      <w:pPr>
        <w:jc w:val="both"/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804"/>
        <w:gridCol w:w="7087"/>
      </w:tblGrid>
      <w:tr w:rsidR="004F7D53" w:rsidRPr="00B44E07" w14:paraId="7516F450" w14:textId="77777777" w:rsidTr="00497544">
        <w:trPr>
          <w:trHeight w:val="579"/>
          <w:tblHeader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89AF" w14:textId="77777777" w:rsidR="004F7D53" w:rsidRPr="00B871F2" w:rsidRDefault="004F7D53" w:rsidP="004F7D5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871F2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6999" w14:textId="77777777" w:rsidR="00B871F2" w:rsidRPr="00B871F2" w:rsidRDefault="00B871F2" w:rsidP="00B871F2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871F2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308ECEAD" w14:textId="5900D0EC" w:rsidR="004F7D53" w:rsidRPr="00B871F2" w:rsidRDefault="00B871F2" w:rsidP="00B871F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871F2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EFF2" w14:textId="77777777" w:rsidR="00B871F2" w:rsidRPr="00B871F2" w:rsidRDefault="00B871F2" w:rsidP="00B871F2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871F2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19B7CFD" w14:textId="6F51EDC1" w:rsidR="004F7D53" w:rsidRPr="00B871F2" w:rsidRDefault="00B871F2" w:rsidP="00B871F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871F2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904B8B" w:rsidRPr="00BA16F3" w14:paraId="39E9D55E" w14:textId="77777777" w:rsidTr="00497544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8B64" w14:textId="77777777" w:rsidR="00904B8B" w:rsidRPr="00210529" w:rsidRDefault="00210529" w:rsidP="00E8198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2.2.3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2537" w14:textId="77777777" w:rsidR="00904B8B" w:rsidRPr="00B1776A" w:rsidRDefault="00B1776A" w:rsidP="00D07E5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B1776A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…</w:t>
            </w:r>
          </w:p>
          <w:p w14:paraId="64EF770F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отнесения отклонений на внешнюю инициативу присваивается ГОУ в случае формирования по ГОУ одного из следующих признаков:</w:t>
            </w:r>
          </w:p>
          <w:p w14:paraId="51B7709C" w14:textId="77777777" w:rsidR="00B1776A" w:rsidRPr="00B1776A" w:rsidRDefault="00B1776A" w:rsidP="00D07E59">
            <w:pPr>
              <w:pStyle w:val="aff1"/>
              <w:numPr>
                <w:ilvl w:val="4"/>
                <w:numId w:val="1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регулировании;</w:t>
            </w:r>
          </w:p>
          <w:p w14:paraId="0567FBAC" w14:textId="77777777" w:rsidR="00B1776A" w:rsidRPr="00B1776A" w:rsidRDefault="00B1776A" w:rsidP="00D07E59">
            <w:pPr>
              <w:pStyle w:val="aff1"/>
              <w:numPr>
                <w:ilvl w:val="4"/>
                <w:numId w:val="1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внешнего воздействия;</w:t>
            </w:r>
          </w:p>
          <w:p w14:paraId="012EB7A6" w14:textId="77777777" w:rsidR="00B1776A" w:rsidRPr="00B1776A" w:rsidRDefault="00B1776A" w:rsidP="00D07E59">
            <w:pPr>
              <w:pStyle w:val="aff1"/>
              <w:numPr>
                <w:ilvl w:val="4"/>
                <w:numId w:val="10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плановых специальных испытаниях.</w:t>
            </w:r>
          </w:p>
          <w:p w14:paraId="78481DB0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регулировании присваивается ГОУ в часы, в отношении которых выполняется хотя бы одно из следующих условий:</w:t>
            </w:r>
          </w:p>
          <w:p w14:paraId="01A7E699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а)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 xml:space="preserve">данное ГОУ относится к типу ГЭС и не относится к ГОУ, в состав которого входят РГЕ, используемые для оказания услуг по АВРЧМ, и находится под управляющим воздействием систем АРЧМ, при условии регистрации фактов срабатывания соответствующих автоматических устройств (при наличии ненулевого значения задания вторичной мощности) или при изменении по команде диспетчера СО, а также с помощью СДПМ задания плановой мощности данного ГОУ ГЭС в </w:t>
            </w:r>
            <w:r w:rsidRPr="00B1776A">
              <w:rPr>
                <w:rFonts w:ascii="Garamond" w:hAnsi="Garamond"/>
                <w:sz w:val="22"/>
                <w:szCs w:val="22"/>
              </w:rPr>
              <w:lastRenderedPageBreak/>
              <w:t xml:space="preserve">ГРАМ (ГРАРМ) по отношению к плановому диспетчерскому графику. В случаях неудовлетворительного участия ГЭС в автоматическом вторичном регулировании, зафиксированных в соответствии с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(Приложение № 13 к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1776A">
              <w:rPr>
                <w:rFonts w:ascii="Garamond" w:hAnsi="Garamond"/>
                <w:sz w:val="22"/>
                <w:szCs w:val="22"/>
              </w:rPr>
              <w:t>),</w:t>
            </w: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t xml:space="preserve"> п</w:t>
            </w:r>
            <w:r w:rsidRPr="00B1776A">
              <w:rPr>
                <w:rFonts w:ascii="Garamond" w:hAnsi="Garamond"/>
                <w:sz w:val="22"/>
                <w:szCs w:val="22"/>
              </w:rPr>
              <w:t>ризнак участия в регулировании ГОУ не присваивается;</w:t>
            </w:r>
          </w:p>
          <w:p w14:paraId="21462BC3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б)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 xml:space="preserve">данное ГОУ относится к типу ГЭС и регулирует частоту или переток активной мощности по команде диспетчера или объект генерации, которому соответствует данное ГОУ, является регулирующим частоту или переток активной мощности в случае выделения на изолированную работу </w:t>
            </w:r>
            <w:proofErr w:type="spellStart"/>
            <w:r w:rsidRPr="00B1776A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Pr="00B1776A">
              <w:rPr>
                <w:rFonts w:ascii="Garamond" w:hAnsi="Garamond"/>
                <w:sz w:val="22"/>
                <w:szCs w:val="22"/>
              </w:rPr>
              <w:t xml:space="preserve"> в одной или нескольких операционных зонах диспетчерского управления, что подтверждено соответствующей командой;</w:t>
            </w:r>
          </w:p>
          <w:p w14:paraId="1C09A9D1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в)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>все ГОУ, каждый из которых однозначно соответствует одной ГТП генерации ГЭС (одному объекту управления типа ГЭС, отнесенному к ГТП потребления с регулируемой нагрузкой), отнесенные к одному ГОУ ГЭС более высокого уровня, объединены системой АРЧМ и находятся под ее управляющим воздействием;</w:t>
            </w:r>
          </w:p>
          <w:p w14:paraId="39C46AF7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t>г)</w:t>
            </w: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tab/>
              <w:t xml:space="preserve">ГОУ однозначно соответствует ГТП генерации регулирующих ГАЭС, к которым относятся гидроаккумулирующие электростанции установленной мощностью более 1000 МВт, имеющие водохранилище с полезным объемом суточного регулирования, необходимым для выравнивания суточной неравномерности графика нагрузки. В случае включения или отключения гидрогенераторов ГАЭС для проведения разрешенных испытаний, в том числе на генерирующем оборудовании, находящемся в ремонте, отклонения в объеме, соответствующем определенной по данным СОТИАССО величине выработки включаемого или отключаемого генерирующего оборудования, но не более величины </w:t>
            </w: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отклонения фактической выработки по ГОУ, определенной по данным СОТИАССО, от объема производства, заданного ПБР или командой СО, относятся на ИС.</w:t>
            </w:r>
          </w:p>
          <w:p w14:paraId="3F48521F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внешнего воздействия присваивается ГОУ в часы, в отношении которых выполняется одно из следующих условий:</w:t>
            </w:r>
          </w:p>
          <w:p w14:paraId="54833CE3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а)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>изменение нагрузки ГОУ происходит вследствие воздействия режимной и противоаварийной автоматики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, а также релейной защиты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, которая работала по причине внешнего фактора по отношению к ГОУ (включая воздействие систем ОПРЧ и т.п.), 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в том числе в случае, если при этой работе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противоаварийной автоматики и релейной защиты 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произошло отключение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генерирующего оборудования, за исключением случаев отключения оборудования солнечных или ветровых электростанций вследствие отключения действием защит одной отходящей от шин электростанции линии электропередачи классом напряжения 110 (150) киловольт и ниже, которая в соответствии с техническим решением по выдаче мощности данной солнечной или ветровой электростанции является единственной линией, по которой может осуществляться выдача ее мощности; </w:t>
            </w:r>
          </w:p>
          <w:p w14:paraId="49C3B132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>б)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>для данного ГОУ действуют диспетчерские команды, отдаваемые в целях предотвращения развития и ликвидации нарушений нормального режима, и команды в соответствующем часе исполнены в полном объеме;</w:t>
            </w:r>
          </w:p>
          <w:p w14:paraId="7371B81B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 xml:space="preserve">Признак участия в плановых специальных испытаниях присваивается ГОУ в часы, в 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отношении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которых 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выполняется следующее условие:</w:t>
            </w:r>
          </w:p>
          <w:p w14:paraId="6CB0E80E" w14:textId="77777777" w:rsidR="00B1776A" w:rsidRPr="00B1776A" w:rsidRDefault="00B1776A" w:rsidP="00D07E59">
            <w:pPr>
              <w:spacing w:before="120" w:after="120"/>
              <w:ind w:left="900" w:hanging="357"/>
              <w:jc w:val="both"/>
              <w:rPr>
                <w:rFonts w:ascii="Garamond" w:hAnsi="Garamond"/>
                <w:sz w:val="22"/>
                <w:szCs w:val="22"/>
              </w:rPr>
            </w:pP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а)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>оборудование данного ГОУ участвовало в испытаниях, отнесенных в соответствии с п. 4.2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 xml:space="preserve"> Регламента определения объемов фактически поставленной на оптовый рынок мощности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) к плановым специальным испытаниям, в соответствии с согласованной с СО программой испытаний и разрешенными </w:t>
            </w:r>
            <w:r w:rsidRPr="00B1776A">
              <w:rPr>
                <w:rFonts w:ascii="Garamond" w:hAnsi="Garamond"/>
                <w:sz w:val="22"/>
                <w:szCs w:val="22"/>
              </w:rPr>
              <w:lastRenderedPageBreak/>
              <w:t>диспетчерскими заявками на проведение указанных испытаний, за исключением часов, в которых:</w:t>
            </w:r>
          </w:p>
          <w:p w14:paraId="59C351DA" w14:textId="77777777" w:rsidR="00B1776A" w:rsidRPr="00B1776A" w:rsidRDefault="00B1776A" w:rsidP="00D07E59">
            <w:pPr>
              <w:pStyle w:val="aff1"/>
              <w:numPr>
                <w:ilvl w:val="0"/>
                <w:numId w:val="11"/>
              </w:numPr>
              <w:spacing w:before="120" w:after="120"/>
              <w:ind w:left="1701" w:hanging="35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произошли отключения генерирующего оборудования, не отнесенные в соответствии с п. 4.2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 xml:space="preserve"> Регламента определения объемов фактически поставленной на оптовый рынок мощности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1776A">
              <w:rPr>
                <w:rFonts w:ascii="Garamond" w:hAnsi="Garamond"/>
                <w:sz w:val="22"/>
                <w:szCs w:val="22"/>
              </w:rPr>
              <w:t>) к категории учтенных в программе испытаний;</w:t>
            </w:r>
          </w:p>
          <w:p w14:paraId="35280046" w14:textId="77777777" w:rsidR="00B1776A" w:rsidRPr="00B1776A" w:rsidRDefault="00B1776A" w:rsidP="00D07E59">
            <w:pPr>
              <w:pStyle w:val="aff1"/>
              <w:numPr>
                <w:ilvl w:val="0"/>
                <w:numId w:val="11"/>
              </w:numPr>
              <w:spacing w:before="120" w:after="120"/>
              <w:ind w:left="1701" w:hanging="35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действовала команда на изменение графика генерации, отданная диспетчером СО по запросу оперативного персонала электростанции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A9F3C5E" w14:textId="77777777" w:rsidR="00B1776A" w:rsidRPr="00B1776A" w:rsidRDefault="00B1776A" w:rsidP="00D07E59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D22B" w14:textId="77777777" w:rsidR="00B1776A" w:rsidRPr="00B1776A" w:rsidRDefault="00B1776A" w:rsidP="00D07E5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B1776A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>…</w:t>
            </w:r>
          </w:p>
          <w:p w14:paraId="711A844D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отнесения отклонений на внешнюю инициативу присваивается ГОУ в случае формирования по ГОУ одного из следующих признаков:</w:t>
            </w:r>
          </w:p>
          <w:p w14:paraId="21525F28" w14:textId="77777777" w:rsidR="00B1776A" w:rsidRPr="00B1776A" w:rsidRDefault="00B1776A" w:rsidP="00D07E59">
            <w:pPr>
              <w:pStyle w:val="aff1"/>
              <w:numPr>
                <w:ilvl w:val="4"/>
                <w:numId w:val="1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регулировании;</w:t>
            </w:r>
          </w:p>
          <w:p w14:paraId="70194BA2" w14:textId="77777777" w:rsidR="00B1776A" w:rsidRPr="00B1776A" w:rsidRDefault="00B1776A" w:rsidP="00D07E59">
            <w:pPr>
              <w:pStyle w:val="aff1"/>
              <w:numPr>
                <w:ilvl w:val="4"/>
                <w:numId w:val="1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внешнего воздействия;</w:t>
            </w:r>
          </w:p>
          <w:p w14:paraId="15777858" w14:textId="77777777" w:rsidR="00B1776A" w:rsidRPr="00B1776A" w:rsidRDefault="00B1776A" w:rsidP="00D07E59">
            <w:pPr>
              <w:pStyle w:val="aff1"/>
              <w:numPr>
                <w:ilvl w:val="4"/>
                <w:numId w:val="1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плановых специальных испытаниях.</w:t>
            </w:r>
          </w:p>
          <w:p w14:paraId="2350906D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регулировании присваивается ГОУ в часы, в отношении которых выполняется хотя бы одно из следующих условий:</w:t>
            </w:r>
          </w:p>
          <w:p w14:paraId="64C171DF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а)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 xml:space="preserve">данное ГОУ относится к типу ГЭС и не относится к ГОУ, в состав которого входят РГЕ, используемые для оказания услуг по АВРЧМ, и находится под управляющим воздействием систем АРЧМ, при условии регистрации фактов срабатывания соответствующих автоматических устройств (при наличии ненулевого значения задания вторичной мощности) или при изменении по команде диспетчера СО, а также с помощью СДПМ задания плановой мощности данного ГОУ ГЭС в ГРАМ (ГРАРМ) </w:t>
            </w:r>
            <w:r w:rsidRPr="00B1776A">
              <w:rPr>
                <w:rFonts w:ascii="Garamond" w:hAnsi="Garamond"/>
                <w:sz w:val="22"/>
                <w:szCs w:val="22"/>
              </w:rPr>
              <w:lastRenderedPageBreak/>
              <w:t xml:space="preserve">по отношению к плановому диспетчерскому графику. В случаях неудовлетворительного участия ГЭС в автоматическом вторичном регулировании, зафиксированных в соответствии с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(Приложение № 13 к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1776A">
              <w:rPr>
                <w:rFonts w:ascii="Garamond" w:hAnsi="Garamond"/>
                <w:sz w:val="22"/>
                <w:szCs w:val="22"/>
              </w:rPr>
              <w:t>),</w:t>
            </w: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t xml:space="preserve"> п</w:t>
            </w:r>
            <w:r w:rsidRPr="00B1776A">
              <w:rPr>
                <w:rFonts w:ascii="Garamond" w:hAnsi="Garamond"/>
                <w:sz w:val="22"/>
                <w:szCs w:val="22"/>
              </w:rPr>
              <w:t>ризнак участия в регулировании ГОУ не присваивается;</w:t>
            </w:r>
          </w:p>
          <w:p w14:paraId="6C3A74C4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б)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 xml:space="preserve">данное ГОУ относится к типу ГЭС и регулирует частоту или переток активной мощности по команде диспетчера или объект генерации, которому соответствует данное ГОУ, является регулирующим частоту или переток активной мощности в случае выделения на изолированную работу </w:t>
            </w:r>
            <w:proofErr w:type="spellStart"/>
            <w:r w:rsidRPr="00B1776A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Pr="00B1776A">
              <w:rPr>
                <w:rFonts w:ascii="Garamond" w:hAnsi="Garamond"/>
                <w:sz w:val="22"/>
                <w:szCs w:val="22"/>
              </w:rPr>
              <w:t xml:space="preserve"> в одной или нескольких операционных зонах диспетчерского управления, что подтверждено соответствующей командой;</w:t>
            </w:r>
          </w:p>
          <w:p w14:paraId="199E6D9B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в)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>все ГОУ, каждый из которых однозначно соответствует одной ГТП генерации ГЭС (одному объекту управления типа ГЭС, отнесенному к ГТП потребления с регулируемой нагрузкой), отнесенные к одному ГОУ ГЭС более высокого уровня, объединены системой АРЧМ и находятся под ее управляющим воздействием;</w:t>
            </w:r>
          </w:p>
          <w:p w14:paraId="6DDF8416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t>г)</w:t>
            </w: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tab/>
              <w:t xml:space="preserve">ГОУ однозначно соответствует ГТП генерации регулирующих ГАЭС, к которым относятся гидроаккумулирующие электростанции установленной мощностью более 1000 МВт, имеющие водохранилище с полезным объемом суточного регулирования, необходимым для выравнивания суточной неравномерности графика нагрузки. В случае включения или отключения гидрогенераторов ГАЭС для проведения разрешенных испытаний, в том числе на генерирующем оборудовании, находящемся в ремонте, отклонения в объеме, соответствующем определенной по данным СОТИАССО величине выработки включаемого или отключаемого генерирующего оборудования, но не более величины отклонения фактической выработки по ГОУ, определенной по данным </w:t>
            </w:r>
            <w:r w:rsidRPr="00B1776A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СОТИАССО, от объема производства, заданного ПБР или командой СО, относятся на ИС.</w:t>
            </w:r>
          </w:p>
          <w:p w14:paraId="32DB2359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внешнего воздействия присваивается ГОУ в часы, в отношении которых выполняется одно из следующих условий:</w:t>
            </w:r>
          </w:p>
          <w:p w14:paraId="1BE7E1C7" w14:textId="77777777" w:rsid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а)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 xml:space="preserve">изменение нагрузки ГОУ происходит вследствие воздействия режимной и противоаварийной автоматики, которая работала по причине внешнего фактора по отношению к ГОУ (включая воздействие систем ОПРЧ и т.п.), </w:t>
            </w:r>
            <w:r w:rsidRPr="003162D6">
              <w:rPr>
                <w:rFonts w:ascii="Garamond" w:hAnsi="Garamond"/>
                <w:sz w:val="22"/>
                <w:szCs w:val="22"/>
                <w:highlight w:val="yellow"/>
              </w:rPr>
              <w:t xml:space="preserve">за исключением </w:t>
            </w:r>
            <w:r w:rsidR="003162D6" w:rsidRPr="003162D6">
              <w:rPr>
                <w:rFonts w:ascii="Garamond" w:hAnsi="Garamond"/>
                <w:sz w:val="22"/>
                <w:szCs w:val="22"/>
                <w:highlight w:val="yellow"/>
              </w:rPr>
              <w:t>солнечных и ветровых электростанций, привлекаемых к участию в АРЧМ</w:t>
            </w:r>
            <w:r w:rsidRPr="00B1776A">
              <w:rPr>
                <w:rFonts w:ascii="Garamond" w:hAnsi="Garamond"/>
                <w:sz w:val="22"/>
                <w:szCs w:val="22"/>
              </w:rPr>
              <w:t>;</w:t>
            </w:r>
          </w:p>
          <w:p w14:paraId="29CD5DF8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>б)</w:t>
            </w: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ab/>
              <w:t xml:space="preserve">изменение нагрузки ГОУ, обусловленное </w:t>
            </w:r>
            <w:r w:rsidR="003162D6">
              <w:rPr>
                <w:rFonts w:ascii="Garamond" w:hAnsi="Garamond"/>
                <w:sz w:val="22"/>
                <w:szCs w:val="22"/>
                <w:highlight w:val="yellow"/>
              </w:rPr>
              <w:t>работой</w:t>
            </w: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162D6">
              <w:rPr>
                <w:rFonts w:ascii="Garamond" w:hAnsi="Garamond"/>
                <w:sz w:val="22"/>
                <w:szCs w:val="22"/>
              </w:rPr>
              <w:t>противоаварийной автоматики или релейной защиты</w:t>
            </w: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>, приводящ</w:t>
            </w:r>
            <w:r w:rsidR="003162D6">
              <w:rPr>
                <w:rFonts w:ascii="Garamond" w:hAnsi="Garamond"/>
                <w:sz w:val="22"/>
                <w:szCs w:val="22"/>
                <w:highlight w:val="yellow"/>
              </w:rPr>
              <w:t>ей</w:t>
            </w: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 xml:space="preserve"> к отключению </w:t>
            </w:r>
            <w:r w:rsidRPr="003162D6">
              <w:rPr>
                <w:rFonts w:ascii="Garamond" w:hAnsi="Garamond"/>
                <w:sz w:val="22"/>
                <w:szCs w:val="22"/>
              </w:rPr>
              <w:t>генерирующего оборудования, за исключением случаев отключения оборудования солнечных или ветровых электростанций вследствие отключения действием защит одной отходящей от шин электростанции линии электропередачи классом напряжения 110 (150) киловольт и ниже, которая в соответствии с техническим решением по выдаче мощности данной солнечной или ветровой электростанции является единственной линией, по которой может осуществляться выдача ее мощности;</w:t>
            </w:r>
          </w:p>
          <w:p w14:paraId="469AC24B" w14:textId="77777777" w:rsidR="00B1776A" w:rsidRPr="00B1776A" w:rsidRDefault="00B1776A" w:rsidP="00D07E59">
            <w:pPr>
              <w:spacing w:before="120" w:after="120"/>
              <w:ind w:left="90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  <w:highlight w:val="yellow"/>
              </w:rPr>
              <w:t>в)</w:t>
            </w:r>
            <w:r w:rsidRPr="00B1776A">
              <w:rPr>
                <w:rFonts w:ascii="Garamond" w:hAnsi="Garamond"/>
                <w:sz w:val="22"/>
                <w:szCs w:val="22"/>
              </w:rPr>
              <w:tab/>
              <w:t>для данного ГОУ действуют диспетчерские команды, отдаваемые в целях предотвращения развития и ликвидации нарушений нормального режима, и команды в соответствующем часе исполнены в полном объеме;</w:t>
            </w:r>
          </w:p>
          <w:p w14:paraId="3A1C90DC" w14:textId="77777777" w:rsidR="00B1776A" w:rsidRPr="00B1776A" w:rsidRDefault="00B1776A" w:rsidP="00D07E59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Признак участия в плановых специальных испытаниях присваивается ГОУ в часы, в которых оборудование данного ГОУ участвовало в испытаниях, отнесенных в соответствии с п. 4.2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 xml:space="preserve"> Регламента определения объемов фактически поставленной на оптовый рынок мощности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1776A">
              <w:rPr>
                <w:rFonts w:ascii="Garamond" w:hAnsi="Garamond"/>
                <w:sz w:val="22"/>
                <w:szCs w:val="22"/>
              </w:rPr>
              <w:t>) к плановым специальным испытаниям, в соответствии с согласованной с СО программой испытаний и разрешенными диспетчерскими заявками на проведение указанных испытаний, за исключением часов, в которых:</w:t>
            </w:r>
          </w:p>
          <w:p w14:paraId="74EE2B0D" w14:textId="77777777" w:rsidR="00B1776A" w:rsidRPr="00B1776A" w:rsidRDefault="00B1776A" w:rsidP="00D07E59">
            <w:pPr>
              <w:pStyle w:val="aff1"/>
              <w:numPr>
                <w:ilvl w:val="0"/>
                <w:numId w:val="11"/>
              </w:numPr>
              <w:spacing w:before="120" w:after="120"/>
              <w:ind w:left="889" w:hanging="28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lastRenderedPageBreak/>
              <w:t>произошли отключения генерирующего оборудования, не отнесенные в соответствии с п. 4.2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 xml:space="preserve"> Регламента определения объемов фактически поставленной на оптовый рынок мощности</w:t>
            </w:r>
            <w:r w:rsidRPr="00B1776A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1776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1776A">
              <w:rPr>
                <w:rFonts w:ascii="Garamond" w:hAnsi="Garamond"/>
                <w:sz w:val="22"/>
                <w:szCs w:val="22"/>
              </w:rPr>
              <w:t>) к категории учтенных в программе испытаний;</w:t>
            </w:r>
          </w:p>
          <w:p w14:paraId="6FF67779" w14:textId="77777777" w:rsidR="00B1776A" w:rsidRPr="00B1776A" w:rsidRDefault="00B1776A" w:rsidP="00D07E59">
            <w:pPr>
              <w:pStyle w:val="aff1"/>
              <w:numPr>
                <w:ilvl w:val="0"/>
                <w:numId w:val="11"/>
              </w:numPr>
              <w:spacing w:before="120" w:after="120"/>
              <w:ind w:left="889" w:hanging="28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1776A">
              <w:rPr>
                <w:rFonts w:ascii="Garamond" w:hAnsi="Garamond"/>
                <w:sz w:val="22"/>
                <w:szCs w:val="22"/>
              </w:rPr>
              <w:t>действовала команда на изменение графика генерации, отданная диспетчером СО по запросу оперативного персонала электростанции</w:t>
            </w:r>
            <w:r w:rsidR="003162D6" w:rsidRPr="003162D6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5D525092" w14:textId="77777777" w:rsidR="00904B8B" w:rsidRPr="00E8198A" w:rsidRDefault="00B1776A" w:rsidP="00D07E5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1776A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</w:tc>
      </w:tr>
      <w:tr w:rsidR="00E8198A" w:rsidRPr="00BA16F3" w14:paraId="67960F1F" w14:textId="77777777" w:rsidTr="00497544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594E" w14:textId="77777777" w:rsidR="00E8198A" w:rsidRPr="00E8198A" w:rsidRDefault="00E8198A" w:rsidP="00E8198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lastRenderedPageBreak/>
              <w:t>2.2.5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DD39" w14:textId="77777777" w:rsidR="00E8198A" w:rsidRPr="00E8198A" w:rsidRDefault="00E8198A" w:rsidP="00D07E5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3" w:name="_Toc128219852"/>
            <w:bookmarkStart w:id="4" w:name="_Toc127939557"/>
            <w:bookmarkStart w:id="5" w:name="_Ref130697492"/>
            <w:bookmarkStart w:id="6" w:name="_Ref130697494"/>
            <w:bookmarkStart w:id="7" w:name="_Ref130697532"/>
            <w:bookmarkStart w:id="8" w:name="_Ref130697548"/>
            <w:bookmarkStart w:id="9" w:name="_Toc226269629"/>
            <w:bookmarkStart w:id="10" w:name="_Toc226456180"/>
            <w:bookmarkStart w:id="11" w:name="_Toc326248177"/>
            <w:bookmarkStart w:id="12" w:name="_Toc365644230"/>
            <w:bookmarkStart w:id="13" w:name="_Toc395623356"/>
            <w:bookmarkStart w:id="14" w:name="_Toc407192144"/>
            <w:bookmarkStart w:id="15" w:name="_Toc489446773"/>
            <w:r w:rsidRPr="00E8198A">
              <w:rPr>
                <w:rFonts w:ascii="Garamond" w:hAnsi="Garamond"/>
                <w:color w:val="000000"/>
                <w:sz w:val="22"/>
                <w:szCs w:val="22"/>
              </w:rPr>
              <w:t>Внешняя инициатива ИВ</w:t>
            </w:r>
            <w:r w:rsidRPr="00E8198A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A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2F6CD662" w14:textId="77777777" w:rsidR="00E8198A" w:rsidRPr="00E8198A" w:rsidRDefault="00E8198A" w:rsidP="00D07E59">
            <w:pPr>
              <w:widowControl w:val="0"/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E8198A">
              <w:rPr>
                <w:rFonts w:ascii="Garamond" w:hAnsi="Garamond"/>
                <w:sz w:val="22"/>
                <w:szCs w:val="22"/>
              </w:rPr>
              <w:t>Составляющая величина отклонения по внешней инициативе ИВА (</w:t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fldChar w:fldCharType="begin"/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instrText xml:space="preserve"> EQ ΔО\s( ;ИВА) </w:instrText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fldChar w:fldCharType="end"/>
            </w:r>
            <w:r w:rsidRPr="00E8198A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w:r w:rsidRPr="00E8198A">
              <w:rPr>
                <w:rFonts w:ascii="Garamond" w:hAnsi="Garamond"/>
                <w:sz w:val="22"/>
                <w:szCs w:val="22"/>
              </w:rPr>
              <w:t>определяется СО в отношении ГТП генерации, ГТП потребления ГАЭС и ГТП потребления с регулируемой нагрузкой для каждого часа операционных суток как изменение генерации, обусловленное управляющими воздействиями противоаварийной и режимной автоматики из-за внешнего для электроэнергетического объекта участника оптового рынка события, участием в противоаварийном регулировании, оказанием участниками оптового рынка услуг по НПРЧ и (или) АВРЧМ.</w:t>
            </w:r>
          </w:p>
          <w:p w14:paraId="7D693F0C" w14:textId="77777777" w:rsidR="00E8198A" w:rsidRDefault="00E8198A" w:rsidP="00D07E59">
            <w:pPr>
              <w:widowControl w:val="0"/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</w:rPr>
            </w:pPr>
            <w:r w:rsidRPr="00270B21">
              <w:rPr>
                <w:rFonts w:ascii="Garamond" w:hAnsi="Garamond"/>
                <w:sz w:val="22"/>
                <w:szCs w:val="22"/>
                <w:highlight w:val="yellow"/>
              </w:rPr>
              <w:t>В случае если в состав ГОУ (ГТП генерации) входят РГЕ, как используемые для оказания услуг по АВРЧМ, так и не используемые для оказания услуг по АВРЧМ (в том числе используемые для оказания услуг по НПРЧ), и СО в отношении такого ГОУ (ГТП генерации) не был присвоен признак отнесения отклонений на внешнюю инициативу в соответствии с п. 2.2.3 настоящего Регламента, то составляющая величина отклонения по внешней инициативе ИВА в соответствующие часы</w:t>
            </w:r>
            <w:r w:rsidRPr="00E8198A">
              <w:rPr>
                <w:rFonts w:ascii="Garamond" w:hAnsi="Garamond"/>
                <w:sz w:val="22"/>
                <w:szCs w:val="22"/>
              </w:rPr>
              <w:t xml:space="preserve"> определяется СО расчетным путем в объеме управляющих </w:t>
            </w:r>
            <w:r w:rsidRPr="00E8198A">
              <w:rPr>
                <w:rFonts w:ascii="Garamond" w:hAnsi="Garamond"/>
                <w:sz w:val="22"/>
                <w:szCs w:val="22"/>
              </w:rPr>
              <w:lastRenderedPageBreak/>
              <w:t>воздействий соответствующей режимной автоматики.</w:t>
            </w:r>
          </w:p>
          <w:p w14:paraId="49A49A35" w14:textId="77777777" w:rsidR="00E8198A" w:rsidRPr="00904B8B" w:rsidRDefault="00904B8B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BDFE" w14:textId="77777777" w:rsidR="00E8198A" w:rsidRPr="00E8198A" w:rsidRDefault="00E8198A" w:rsidP="00D07E59">
            <w:pPr>
              <w:pStyle w:val="3"/>
              <w:keepNext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E8198A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Внешняя инициатива ИВ</w:t>
            </w:r>
            <w:r w:rsidRPr="00E8198A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A</w:t>
            </w:r>
          </w:p>
          <w:p w14:paraId="45D191D7" w14:textId="77777777" w:rsidR="00FE4479" w:rsidRDefault="00E8198A" w:rsidP="00D07E59">
            <w:pPr>
              <w:widowControl w:val="0"/>
              <w:spacing w:before="120" w:after="120"/>
              <w:ind w:firstLine="53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8198A">
              <w:rPr>
                <w:rFonts w:ascii="Garamond" w:hAnsi="Garamond"/>
                <w:sz w:val="22"/>
                <w:szCs w:val="22"/>
              </w:rPr>
              <w:t>Составляющая величина отклонения по внешней инициативе ИВА (</w:t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fldChar w:fldCharType="begin"/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instrText xml:space="preserve"> EQ ΔО\s( ;ИВА) </w:instrText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fldChar w:fldCharType="end"/>
            </w:r>
            <w:r w:rsidRPr="00E8198A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E8198A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w:r w:rsidRPr="00E8198A">
              <w:rPr>
                <w:rFonts w:ascii="Garamond" w:hAnsi="Garamond"/>
                <w:sz w:val="22"/>
                <w:szCs w:val="22"/>
              </w:rPr>
              <w:t>определяется СО в отношении ГТП генерации, ГТП потребления ГАЭС и ГТП потребления с регулируемой нагрузкой для каждого часа операционных суток как изменение генерации, обусловленное управляющими воздействиями противоаварийной и</w:t>
            </w:r>
            <w:r w:rsidR="00270B21" w:rsidRPr="00270B21">
              <w:rPr>
                <w:rFonts w:ascii="Garamond" w:hAnsi="Garamond"/>
                <w:sz w:val="22"/>
                <w:szCs w:val="22"/>
                <w:highlight w:val="yellow"/>
              </w:rPr>
              <w:t>ли</w:t>
            </w:r>
            <w:r w:rsidRPr="00E8198A">
              <w:rPr>
                <w:rFonts w:ascii="Garamond" w:hAnsi="Garamond"/>
                <w:sz w:val="22"/>
                <w:szCs w:val="22"/>
              </w:rPr>
              <w:t xml:space="preserve"> режимной автоматики из-за внешнего для электроэнергетического объекта участника оптового рынка события, участием в противоаварийном регулировании, оказанием участниками оптового рынка услуг по НПРЧ и (или) АВРЧМ</w:t>
            </w:r>
            <w:r w:rsidRPr="00270B21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DA2856">
              <w:rPr>
                <w:rFonts w:ascii="Garamond" w:hAnsi="Garamond"/>
                <w:sz w:val="22"/>
                <w:szCs w:val="22"/>
                <w:highlight w:val="yellow"/>
              </w:rPr>
              <w:t>работой</w:t>
            </w:r>
            <w:r w:rsidR="00744F6C" w:rsidRPr="00270B2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162D6" w:rsidRPr="003162D6">
              <w:rPr>
                <w:rFonts w:ascii="Garamond" w:hAnsi="Garamond"/>
                <w:sz w:val="22"/>
                <w:szCs w:val="22"/>
                <w:highlight w:val="yellow"/>
              </w:rPr>
              <w:t>солнечных и</w:t>
            </w:r>
            <w:r w:rsidR="003162D6">
              <w:rPr>
                <w:rFonts w:ascii="Garamond" w:hAnsi="Garamond"/>
                <w:sz w:val="22"/>
                <w:szCs w:val="22"/>
                <w:highlight w:val="yellow"/>
              </w:rPr>
              <w:t>ли</w:t>
            </w:r>
            <w:r w:rsidR="003162D6" w:rsidRPr="003162D6">
              <w:rPr>
                <w:rFonts w:ascii="Garamond" w:hAnsi="Garamond"/>
                <w:sz w:val="22"/>
                <w:szCs w:val="22"/>
                <w:highlight w:val="yellow"/>
              </w:rPr>
              <w:t xml:space="preserve"> ветровых электростанций</w:t>
            </w:r>
            <w:r w:rsidR="00270B21" w:rsidRPr="00270B2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A2856">
              <w:rPr>
                <w:rFonts w:ascii="Garamond" w:hAnsi="Garamond"/>
                <w:sz w:val="22"/>
                <w:szCs w:val="22"/>
                <w:highlight w:val="yellow"/>
              </w:rPr>
              <w:t>под воздействием</w:t>
            </w:r>
            <w:r w:rsidR="00270B21" w:rsidRPr="00270B21">
              <w:rPr>
                <w:rFonts w:ascii="Garamond" w:hAnsi="Garamond"/>
                <w:sz w:val="22"/>
                <w:szCs w:val="22"/>
                <w:highlight w:val="yellow"/>
              </w:rPr>
              <w:t xml:space="preserve"> АРЧМ</w:t>
            </w:r>
            <w:r w:rsidR="00FE4479">
              <w:rPr>
                <w:rFonts w:ascii="Garamond" w:hAnsi="Garamond"/>
                <w:sz w:val="22"/>
                <w:szCs w:val="22"/>
                <w:highlight w:val="yellow"/>
              </w:rPr>
              <w:t>, с учетом следующего:</w:t>
            </w:r>
          </w:p>
          <w:p w14:paraId="13D4B369" w14:textId="77777777" w:rsidR="00FE4479" w:rsidRDefault="00FE4479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- величина отклонения </w:t>
            </w:r>
            <w:r w:rsidR="00270B21" w:rsidRPr="00E8198A">
              <w:rPr>
                <w:rFonts w:ascii="Garamond" w:hAnsi="Garamond"/>
                <w:sz w:val="22"/>
                <w:szCs w:val="22"/>
              </w:rPr>
              <w:t xml:space="preserve">определяется СО расчетным путем в объеме управляющих воздействий соответствующей </w:t>
            </w:r>
            <w:r w:rsidR="00270B21" w:rsidRPr="00270B21">
              <w:rPr>
                <w:rFonts w:ascii="Garamond" w:hAnsi="Garamond"/>
                <w:sz w:val="22"/>
                <w:szCs w:val="22"/>
                <w:highlight w:val="yellow"/>
              </w:rPr>
              <w:t>противоаварийной и</w:t>
            </w:r>
            <w:r w:rsidR="00270B21">
              <w:rPr>
                <w:rFonts w:ascii="Garamond" w:hAnsi="Garamond"/>
                <w:sz w:val="22"/>
                <w:szCs w:val="22"/>
                <w:highlight w:val="yellow"/>
              </w:rPr>
              <w:t>ли</w:t>
            </w:r>
            <w:r w:rsidR="00270B2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70B21" w:rsidRPr="00E8198A">
              <w:rPr>
                <w:rFonts w:ascii="Garamond" w:hAnsi="Garamond"/>
                <w:sz w:val="22"/>
                <w:szCs w:val="22"/>
              </w:rPr>
              <w:t>режимной автоматики</w:t>
            </w:r>
            <w:r>
              <w:rPr>
                <w:rFonts w:ascii="Garamond" w:hAnsi="Garamond"/>
                <w:sz w:val="22"/>
                <w:szCs w:val="22"/>
              </w:rPr>
              <w:t>;</w:t>
            </w:r>
          </w:p>
          <w:p w14:paraId="61F36F80" w14:textId="77777777" w:rsidR="00FE4479" w:rsidRDefault="00FE4479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3105">
              <w:rPr>
                <w:rFonts w:ascii="Garamond" w:hAnsi="Garamond"/>
                <w:sz w:val="22"/>
                <w:szCs w:val="22"/>
                <w:highlight w:val="yellow"/>
              </w:rPr>
              <w:t xml:space="preserve">- величина отклонения для </w:t>
            </w:r>
            <w:r w:rsidR="003162D6" w:rsidRPr="003162D6">
              <w:rPr>
                <w:rFonts w:ascii="Garamond" w:hAnsi="Garamond"/>
                <w:sz w:val="22"/>
                <w:szCs w:val="22"/>
                <w:highlight w:val="yellow"/>
              </w:rPr>
              <w:t>солнечных и ветровых электростанций</w:t>
            </w:r>
            <w:r w:rsidR="003162D6" w:rsidRPr="000E310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E3105">
              <w:rPr>
                <w:rFonts w:ascii="Garamond" w:hAnsi="Garamond"/>
                <w:sz w:val="22"/>
                <w:szCs w:val="22"/>
                <w:highlight w:val="yellow"/>
              </w:rPr>
              <w:t>определяется СО</w:t>
            </w:r>
            <w:r w:rsidR="000E310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E3105" w:rsidRPr="000E3105">
              <w:rPr>
                <w:rFonts w:ascii="Garamond" w:hAnsi="Garamond"/>
                <w:sz w:val="22"/>
                <w:szCs w:val="22"/>
                <w:highlight w:val="yellow"/>
              </w:rPr>
              <w:t>расчетным путем</w:t>
            </w:r>
            <w:r w:rsidR="000E3105">
              <w:rPr>
                <w:rFonts w:ascii="Garamond" w:hAnsi="Garamond"/>
                <w:sz w:val="22"/>
                <w:szCs w:val="22"/>
                <w:highlight w:val="yellow"/>
              </w:rPr>
              <w:t xml:space="preserve"> в </w:t>
            </w:r>
            <w:r w:rsidR="000E3105" w:rsidRPr="000E3105">
              <w:rPr>
                <w:rFonts w:ascii="Garamond" w:hAnsi="Garamond"/>
                <w:sz w:val="22"/>
                <w:szCs w:val="22"/>
                <w:highlight w:val="yellow"/>
              </w:rPr>
              <w:t>период действия управляющих воздействий соответствующей противоаварийной или режимной автоматики</w:t>
            </w:r>
            <w:r w:rsidR="00904B8B">
              <w:rPr>
                <w:rFonts w:ascii="Garamond" w:hAnsi="Garamond"/>
                <w:sz w:val="22"/>
                <w:szCs w:val="22"/>
                <w:highlight w:val="yellow"/>
              </w:rPr>
              <w:t xml:space="preserve"> в порядке, определенном настоящим Регламентом</w:t>
            </w:r>
            <w:r w:rsidR="000E3105" w:rsidRPr="000E3105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3096FB8" w14:textId="77777777" w:rsidR="00270B21" w:rsidRDefault="00FE4479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- для часов, в которых сформирован объем ИВА</w:t>
            </w:r>
            <w:r w:rsidR="00C93E7A" w:rsidRPr="00C93E7A">
              <w:rPr>
                <w:rFonts w:ascii="Garamond" w:hAnsi="Garamond"/>
                <w:sz w:val="22"/>
                <w:szCs w:val="22"/>
                <w:highlight w:val="yellow"/>
              </w:rPr>
              <w:t>, не присваивается признак отнесения отклонений на внешнюю инициативу, формируемый в соответствии с п. 2.2.3 настоящего Регламента</w:t>
            </w:r>
            <w:r w:rsidR="00C93E7A">
              <w:rPr>
                <w:rFonts w:ascii="Garamond" w:hAnsi="Garamond"/>
                <w:sz w:val="22"/>
                <w:szCs w:val="22"/>
              </w:rPr>
              <w:t>.</w:t>
            </w:r>
          </w:p>
          <w:p w14:paraId="74560171" w14:textId="77777777" w:rsidR="00904B8B" w:rsidRPr="009D7C1F" w:rsidRDefault="00904B8B" w:rsidP="00D07E59">
            <w:pPr>
              <w:widowControl w:val="0"/>
              <w:spacing w:before="120" w:after="120"/>
              <w:ind w:firstLine="34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Pr="000E3105">
              <w:rPr>
                <w:rFonts w:ascii="Garamond" w:hAnsi="Garamond"/>
                <w:sz w:val="22"/>
                <w:szCs w:val="22"/>
                <w:highlight w:val="yellow"/>
              </w:rPr>
              <w:t xml:space="preserve">ля </w:t>
            </w:r>
            <w:r w:rsidR="003162D6" w:rsidRPr="003162D6">
              <w:rPr>
                <w:rFonts w:ascii="Garamond" w:hAnsi="Garamond"/>
                <w:sz w:val="22"/>
                <w:szCs w:val="22"/>
                <w:highlight w:val="yellow"/>
              </w:rPr>
              <w:t>солнечных и ветровых электростанций</w:t>
            </w:r>
            <w:r w:rsidR="003162D6" w:rsidRPr="000E310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Pr="000E3105">
              <w:rPr>
                <w:rFonts w:ascii="Garamond" w:hAnsi="Garamond"/>
                <w:sz w:val="22"/>
                <w:szCs w:val="22"/>
                <w:highlight w:val="yellow"/>
              </w:rPr>
              <w:t>период действия управляющих воздействий противоаварийной или режимной автоматики</w:t>
            </w:r>
            <w:r w:rsidRPr="00904B8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СО </w:t>
            </w:r>
            <w:r w:rsidR="00EC1339">
              <w:rPr>
                <w:rFonts w:ascii="Garamond" w:hAnsi="Garamond"/>
                <w:sz w:val="22"/>
                <w:szCs w:val="22"/>
                <w:highlight w:val="yellow"/>
              </w:rPr>
              <w:t xml:space="preserve">в каждом часе </w:t>
            </w:r>
            <w:r w:rsidR="000134A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EC1339" w:rsidRPr="00EC133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134A5">
              <w:rPr>
                <w:rFonts w:ascii="Garamond" w:hAnsi="Garamond"/>
                <w:sz w:val="22"/>
                <w:szCs w:val="22"/>
                <w:highlight w:val="yellow"/>
              </w:rPr>
              <w:t xml:space="preserve">операционных суток расчетного периода </w:t>
            </w:r>
            <w:r w:rsidRPr="009D7C1F">
              <w:rPr>
                <w:rFonts w:ascii="Garamond" w:hAnsi="Garamond"/>
                <w:sz w:val="22"/>
                <w:szCs w:val="22"/>
                <w:highlight w:val="yellow"/>
              </w:rPr>
              <w:t>определяет объем ИВА:</w:t>
            </w:r>
          </w:p>
          <w:p w14:paraId="77FCB617" w14:textId="77777777" w:rsidR="00A64418" w:rsidRPr="009D7C1F" w:rsidRDefault="00A64418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r>
                <w:rPr>
                  <w:rFonts w:ascii="Cambria Math" w:hAnsi="Garamond"/>
                  <w:sz w:val="22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Garamond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</w:rPr>
                    <m:t>O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</w:rPr>
                    <m:t>ИВА</m:t>
                  </m:r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</w:rPr>
                    <m:t>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 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∈h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max⁡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(0;</m:t>
                  </m:r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min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max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⁡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_дост,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УДГ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Garamond"/>
                                  <w:sz w:val="22"/>
                                  <w:szCs w:val="22"/>
                                  <w:highlight w:val="yellow"/>
                                </w:rPr>
                                <m:t>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Garamond"/>
                                  <w:sz w:val="22"/>
                                  <w:szCs w:val="22"/>
                                  <w:highlight w:val="yellow"/>
                                </w:rPr>
                                <m:t>огр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Garamond"/>
                                  <w:sz w:val="22"/>
                                  <w:szCs w:val="22"/>
                                  <w:highlight w:val="yellow"/>
                                </w:rPr>
                                <m:t>_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Garamond"/>
                                  <w:sz w:val="22"/>
                                  <w:szCs w:val="22"/>
                                  <w:highlight w:val="yellow"/>
                                </w:rPr>
                                <m:t>арчм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 xml:space="preserve">, </m:t>
                              </m:r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 xml:space="preserve"> 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Garamond"/>
                                  <w:sz w:val="22"/>
                                  <w:szCs w:val="22"/>
                                  <w:highlight w:val="yellow"/>
                                </w:rPr>
                                <m:t>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Garamond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,t</m:t>
                              </m:r>
                            </m:sub>
                          </m:sSub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)</m:t>
                  </m:r>
                </m:e>
              </m:nary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7032CDE7" w14:textId="09EDE977" w:rsidR="009D7C1F" w:rsidRPr="00497544" w:rsidRDefault="00D07E59" w:rsidP="00D07E59">
            <w:pPr>
              <w:widowControl w:val="0"/>
              <w:spacing w:before="120" w:after="120"/>
              <w:ind w:firstLine="2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9D7C1F" w:rsidRPr="009D7C1F">
              <w:rPr>
                <w:rFonts w:ascii="Garamond" w:hAnsi="Garamond"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_дост,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e>
                  </m:func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 </m:t>
              </m:r>
            </m:oMath>
            <w:r w:rsidR="009D7C1F" w:rsidRPr="009D7C1F">
              <w:rPr>
                <w:rFonts w:ascii="Garamond" w:hAnsi="Garamond"/>
                <w:sz w:val="22"/>
                <w:szCs w:val="22"/>
                <w:highlight w:val="yellow"/>
              </w:rPr>
              <w:t>– доступная максимальная активная мощность СЭС/ВЭС по данным АСУ ТП при текущем уровне инсоляции / скорости ветра, передав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аемая в порядке, установленном п</w:t>
            </w:r>
            <w:r w:rsidR="009D7C1F" w:rsidRPr="009D7C1F">
              <w:rPr>
                <w:rFonts w:ascii="Garamond" w:hAnsi="Garamond"/>
                <w:sz w:val="22"/>
                <w:szCs w:val="22"/>
                <w:highlight w:val="yellow"/>
              </w:rPr>
              <w:t xml:space="preserve">риложением 3 к </w:t>
            </w:r>
            <w:r w:rsidR="009D7C1F" w:rsidRPr="00D07E59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="009D7C1F" w:rsidRPr="009D7C1F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D7C1F" w:rsidRPr="009D7C1F">
              <w:rPr>
                <w:rFonts w:ascii="Garamond" w:hAnsi="Garamond"/>
                <w:sz w:val="22"/>
                <w:szCs w:val="22"/>
                <w:highlight w:val="yellow"/>
              </w:rPr>
              <w:t xml:space="preserve">1 к </w:t>
            </w:r>
            <w:r w:rsidR="009D7C1F" w:rsidRPr="00D07E59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9D7C1F" w:rsidRPr="00497544">
              <w:rPr>
                <w:rFonts w:ascii="Garamond" w:hAnsi="Garamond"/>
                <w:sz w:val="22"/>
                <w:szCs w:val="22"/>
                <w:highlight w:val="yellow"/>
              </w:rPr>
              <w:t xml:space="preserve">). При отсутствии поступающего в рамках СОТИАССО параметра в качестве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_дост,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e>
                  </m:func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 </m:t>
              </m:r>
            </m:oMath>
            <w:r w:rsidR="00497544" w:rsidRPr="00497544">
              <w:rPr>
                <w:rFonts w:ascii="Garamond" w:hAnsi="Garamond"/>
                <w:sz w:val="22"/>
                <w:szCs w:val="22"/>
                <w:highlight w:val="yellow"/>
              </w:rPr>
              <w:t>принимается</w:t>
            </w:r>
            <w:r w:rsidR="009D7C1F" w:rsidRPr="00497544">
              <w:rPr>
                <w:rFonts w:ascii="Garamond" w:hAnsi="Garamond"/>
                <w:sz w:val="22"/>
                <w:szCs w:val="22"/>
                <w:highlight w:val="yellow"/>
              </w:rPr>
              <w:t xml:space="preserve"> значение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УДГ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</m:sub>
              </m:sSub>
            </m:oMath>
            <w:r w:rsidR="009D7C1F" w:rsidRPr="0049754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811FF5E" w14:textId="77777777" w:rsidR="00497544" w:rsidRPr="00497544" w:rsidRDefault="00D07E59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УДГ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 </m:t>
              </m:r>
            </m:oMath>
            <w:r w:rsidR="00497544" w:rsidRPr="0049754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97544" w:rsidRPr="009D7C1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49754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A3883" w:rsidRPr="009D7C1F">
              <w:rPr>
                <w:rFonts w:ascii="Garamond" w:hAnsi="Garamond"/>
                <w:sz w:val="22"/>
                <w:szCs w:val="22"/>
                <w:highlight w:val="yellow"/>
              </w:rPr>
              <w:t>активная мощность СЭС/ВЭС</w:t>
            </w:r>
            <w:r w:rsidR="00DA3883">
              <w:rPr>
                <w:rFonts w:ascii="Garamond" w:hAnsi="Garamond"/>
                <w:sz w:val="22"/>
                <w:szCs w:val="22"/>
                <w:highlight w:val="yellow"/>
              </w:rPr>
              <w:t>, соответствующая заданному уточненному диспетчерскому графику (УДГ)</w:t>
            </w:r>
            <w:r w:rsidR="00497544" w:rsidRPr="0049754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157E9B15" w14:textId="77777777" w:rsidR="00A64418" w:rsidRPr="00497544" w:rsidRDefault="00D07E59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огр_арчм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  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A64418" w:rsidRPr="00497544">
              <w:rPr>
                <w:rFonts w:ascii="Garamond" w:hAnsi="Garamond"/>
                <w:sz w:val="22"/>
                <w:szCs w:val="22"/>
                <w:highlight w:val="yellow"/>
              </w:rPr>
              <w:t xml:space="preserve">– величина </w:t>
            </w:r>
            <w:r w:rsidR="00EB121A" w:rsidRPr="00497544">
              <w:rPr>
                <w:rFonts w:ascii="Garamond" w:hAnsi="Garamond"/>
                <w:sz w:val="22"/>
                <w:szCs w:val="22"/>
                <w:highlight w:val="yellow"/>
              </w:rPr>
              <w:t xml:space="preserve">ограничения </w:t>
            </w:r>
            <w:r w:rsidR="004C7FC3" w:rsidRPr="00497544">
              <w:rPr>
                <w:rFonts w:ascii="Garamond" w:hAnsi="Garamond"/>
                <w:sz w:val="22"/>
                <w:szCs w:val="22"/>
                <w:highlight w:val="yellow"/>
              </w:rPr>
              <w:t>нагрузки СЭС/ВЭС</w:t>
            </w:r>
            <w:r w:rsidR="00A64418" w:rsidRPr="00497544">
              <w:rPr>
                <w:rFonts w:ascii="Garamond" w:hAnsi="Garamond"/>
                <w:sz w:val="22"/>
                <w:szCs w:val="22"/>
                <w:highlight w:val="yellow"/>
              </w:rPr>
              <w:t>, формируемая противоаварийной или режимной автоматикой;</w:t>
            </w:r>
          </w:p>
          <w:p w14:paraId="3510379E" w14:textId="77777777" w:rsidR="004C7FC3" w:rsidRPr="004C7FC3" w:rsidRDefault="00D07E59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4C7FC3" w:rsidRPr="00497544">
              <w:rPr>
                <w:rFonts w:ascii="Garamond" w:hAnsi="Garamond"/>
                <w:sz w:val="22"/>
                <w:szCs w:val="22"/>
                <w:highlight w:val="yellow"/>
              </w:rPr>
              <w:t>– фактическая</w:t>
            </w:r>
            <w:r w:rsidR="004C7FC3">
              <w:rPr>
                <w:rFonts w:ascii="Garamond" w:hAnsi="Garamond"/>
                <w:sz w:val="22"/>
                <w:szCs w:val="22"/>
                <w:highlight w:val="yellow"/>
              </w:rPr>
              <w:t xml:space="preserve"> нагрузка СЭС/ВЭС по данным СОТИАССО;</w:t>
            </w:r>
          </w:p>
          <w:p w14:paraId="4A326AB6" w14:textId="77777777" w:rsidR="009D7C1F" w:rsidRPr="00BD6FF1" w:rsidRDefault="009D7C1F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D6FF1">
              <w:rPr>
                <w:rFonts w:ascii="Garamond" w:hAnsi="Garamond"/>
                <w:i/>
                <w:sz w:val="22"/>
                <w:szCs w:val="22"/>
                <w:highlight w:val="yellow"/>
              </w:rPr>
              <w:t>Т</w:t>
            </w:r>
            <w:r w:rsidRP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период действия управляющих воздействий противоаварийной или режимной автоматики</w:t>
            </w:r>
            <w:r w:rsidR="00EC1339">
              <w:rPr>
                <w:rFonts w:ascii="Garamond" w:hAnsi="Garamond"/>
                <w:sz w:val="22"/>
                <w:szCs w:val="22"/>
                <w:highlight w:val="yellow"/>
              </w:rPr>
              <w:t xml:space="preserve"> в часе </w:t>
            </w:r>
            <w:r w:rsidR="006A2B1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0134A5" w:rsidRPr="000134A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0134A5">
              <w:rPr>
                <w:rFonts w:ascii="Garamond" w:hAnsi="Garamond"/>
                <w:sz w:val="22"/>
                <w:szCs w:val="22"/>
                <w:highlight w:val="yellow"/>
              </w:rPr>
              <w:t>операционных суток расчетного периода</w:t>
            </w:r>
            <w:r w:rsidR="00BD6FF1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0B349872" w14:textId="477C934C" w:rsidR="009D7C1F" w:rsidRDefault="00D07E59" w:rsidP="00D07E59">
            <w:pPr>
              <w:widowControl w:val="0"/>
              <w:spacing w:before="120" w:after="120"/>
              <w:ind w:firstLine="34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В случае</w:t>
            </w:r>
            <w:bookmarkStart w:id="16" w:name="_GoBack"/>
            <w:bookmarkEnd w:id="16"/>
            <w:r w:rsidR="009D7C1F" w:rsidRP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 если действи</w:t>
            </w:r>
            <w:r w:rsidR="00BD6FF1" w:rsidRPr="00BD6FF1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9D7C1F" w:rsidRP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 противоаварийной или режимной автоматики </w:t>
            </w:r>
            <w:r w:rsidR="00BD6FF1" w:rsidRP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продолжается в нескольких часах, то объем </w:t>
            </w:r>
            <m:oMath>
              <m:r>
                <w:rPr>
                  <w:rFonts w:ascii="Cambria Math" w:hAnsi="Garamond"/>
                  <w:sz w:val="22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Garamond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</w:rPr>
                    <m:t>O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</w:rPr>
                    <m:t>ИВА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ub>
              </m:sSub>
            </m:oMath>
            <w:r w:rsidR="009D7C1F" w:rsidRP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D6FF1" w:rsidRP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рассчитывается индивидуально для каждого часа с учетом времени действия противоаварийной или режимной </w:t>
            </w:r>
            <w:r w:rsidR="00BD6FF1" w:rsidRPr="009D7C1F">
              <w:rPr>
                <w:rFonts w:ascii="Garamond" w:hAnsi="Garamond"/>
                <w:sz w:val="22"/>
                <w:szCs w:val="22"/>
                <w:highlight w:val="yellow"/>
              </w:rPr>
              <w:t>автоматики</w:t>
            </w:r>
            <w:r w:rsidR="00BD6FF1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соответствующем часе.</w:t>
            </w:r>
          </w:p>
          <w:p w14:paraId="7BC8F619" w14:textId="77777777" w:rsidR="00E8198A" w:rsidRPr="00904B8B" w:rsidRDefault="00904B8B" w:rsidP="00D07E59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02CF03CA" w14:textId="77777777" w:rsidR="00A752FC" w:rsidRDefault="00A752FC" w:rsidP="00A752FC">
      <w:pPr>
        <w:rPr>
          <w:b/>
        </w:rPr>
      </w:pPr>
    </w:p>
    <w:p w14:paraId="151FD96E" w14:textId="6AAF6560" w:rsidR="001A2E4C" w:rsidRPr="00737444" w:rsidRDefault="001A2E4C" w:rsidP="0073744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1A2E4C" w:rsidRPr="00737444" w:rsidSect="00886202">
      <w:headerReference w:type="default" r:id="rId11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3DE22" w14:textId="77777777" w:rsidR="00B669E8" w:rsidRDefault="00B669E8">
      <w:r>
        <w:separator/>
      </w:r>
    </w:p>
  </w:endnote>
  <w:endnote w:type="continuationSeparator" w:id="0">
    <w:p w14:paraId="6F3EF8C0" w14:textId="77777777" w:rsidR="00B669E8" w:rsidRDefault="00B6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88E14" w14:textId="77777777" w:rsidR="00B669E8" w:rsidRDefault="00B669E8">
      <w:r>
        <w:separator/>
      </w:r>
    </w:p>
  </w:footnote>
  <w:footnote w:type="continuationSeparator" w:id="0">
    <w:p w14:paraId="2A116FA6" w14:textId="77777777" w:rsidR="00B669E8" w:rsidRDefault="00B66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708929"/>
      <w:docPartObj>
        <w:docPartGallery w:val="Page Numbers (Top of Page)"/>
        <w:docPartUnique/>
      </w:docPartObj>
    </w:sdtPr>
    <w:sdtEndPr/>
    <w:sdtContent>
      <w:p w14:paraId="7FF02BEF" w14:textId="4354F706" w:rsidR="00BC4D65" w:rsidRDefault="00BC4D6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E59">
          <w:rPr>
            <w:noProof/>
          </w:rPr>
          <w:t>4</w:t>
        </w:r>
        <w:r>
          <w:fldChar w:fldCharType="end"/>
        </w:r>
      </w:p>
    </w:sdtContent>
  </w:sdt>
  <w:p w14:paraId="3BD27DD0" w14:textId="77777777" w:rsidR="00BC4D65" w:rsidRDefault="00BC4D6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915F8"/>
    <w:multiLevelType w:val="multilevel"/>
    <w:tmpl w:val="46B05368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4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5E44B2"/>
    <w:multiLevelType w:val="multilevel"/>
    <w:tmpl w:val="46B05368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8" w15:restartNumberingAfterBreak="0">
    <w:nsid w:val="28520E5C"/>
    <w:multiLevelType w:val="hybridMultilevel"/>
    <w:tmpl w:val="04767F2C"/>
    <w:lvl w:ilvl="0" w:tplc="9FE20B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5"/>
  </w:num>
  <w:num w:numId="5">
    <w:abstractNumId w:val="4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630"/>
    <w:rsid w:val="000057F3"/>
    <w:rsid w:val="000134A5"/>
    <w:rsid w:val="000148B2"/>
    <w:rsid w:val="00031CBE"/>
    <w:rsid w:val="00044BBF"/>
    <w:rsid w:val="00051DFA"/>
    <w:rsid w:val="0007712D"/>
    <w:rsid w:val="000B4708"/>
    <w:rsid w:val="000C6E17"/>
    <w:rsid w:val="000C6EB8"/>
    <w:rsid w:val="000C7F73"/>
    <w:rsid w:val="000D1087"/>
    <w:rsid w:val="000E3105"/>
    <w:rsid w:val="000F6679"/>
    <w:rsid w:val="0011296A"/>
    <w:rsid w:val="00117B97"/>
    <w:rsid w:val="001321AA"/>
    <w:rsid w:val="0015299C"/>
    <w:rsid w:val="001665F3"/>
    <w:rsid w:val="0017116F"/>
    <w:rsid w:val="0017258F"/>
    <w:rsid w:val="00181165"/>
    <w:rsid w:val="001828DE"/>
    <w:rsid w:val="00182EE0"/>
    <w:rsid w:val="00190124"/>
    <w:rsid w:val="0019303A"/>
    <w:rsid w:val="001A2E4C"/>
    <w:rsid w:val="001B045C"/>
    <w:rsid w:val="001B14C9"/>
    <w:rsid w:val="001C1B13"/>
    <w:rsid w:val="001D31A6"/>
    <w:rsid w:val="001E0F36"/>
    <w:rsid w:val="001E53CE"/>
    <w:rsid w:val="001E7FE9"/>
    <w:rsid w:val="001F4837"/>
    <w:rsid w:val="0020242D"/>
    <w:rsid w:val="002039F7"/>
    <w:rsid w:val="0020412B"/>
    <w:rsid w:val="00210529"/>
    <w:rsid w:val="00211D72"/>
    <w:rsid w:val="00216B23"/>
    <w:rsid w:val="00231014"/>
    <w:rsid w:val="00246547"/>
    <w:rsid w:val="002573EE"/>
    <w:rsid w:val="00270B21"/>
    <w:rsid w:val="0028195F"/>
    <w:rsid w:val="002A024A"/>
    <w:rsid w:val="002A21F7"/>
    <w:rsid w:val="002A5302"/>
    <w:rsid w:val="002B6A2B"/>
    <w:rsid w:val="002B7734"/>
    <w:rsid w:val="00300693"/>
    <w:rsid w:val="003162D6"/>
    <w:rsid w:val="00316443"/>
    <w:rsid w:val="003375E9"/>
    <w:rsid w:val="003376F2"/>
    <w:rsid w:val="00346D33"/>
    <w:rsid w:val="00347EF2"/>
    <w:rsid w:val="003567DA"/>
    <w:rsid w:val="003608D0"/>
    <w:rsid w:val="00373AE2"/>
    <w:rsid w:val="00375C9F"/>
    <w:rsid w:val="00384154"/>
    <w:rsid w:val="00387200"/>
    <w:rsid w:val="0039224F"/>
    <w:rsid w:val="00394B81"/>
    <w:rsid w:val="00395B9B"/>
    <w:rsid w:val="003A45FC"/>
    <w:rsid w:val="003A6CA9"/>
    <w:rsid w:val="003B399A"/>
    <w:rsid w:val="003C5B5B"/>
    <w:rsid w:val="003E48C4"/>
    <w:rsid w:val="003E7098"/>
    <w:rsid w:val="003E7E3F"/>
    <w:rsid w:val="003F32D8"/>
    <w:rsid w:val="003F7FC2"/>
    <w:rsid w:val="00424ADA"/>
    <w:rsid w:val="004257D0"/>
    <w:rsid w:val="004348EB"/>
    <w:rsid w:val="0043618D"/>
    <w:rsid w:val="00442DC0"/>
    <w:rsid w:val="00444921"/>
    <w:rsid w:val="00456E37"/>
    <w:rsid w:val="00481511"/>
    <w:rsid w:val="00482042"/>
    <w:rsid w:val="00482565"/>
    <w:rsid w:val="004825E1"/>
    <w:rsid w:val="0048284C"/>
    <w:rsid w:val="00497544"/>
    <w:rsid w:val="004A1BB2"/>
    <w:rsid w:val="004B769A"/>
    <w:rsid w:val="004C43AD"/>
    <w:rsid w:val="004C7FC3"/>
    <w:rsid w:val="004D0F7D"/>
    <w:rsid w:val="004F2997"/>
    <w:rsid w:val="004F7D53"/>
    <w:rsid w:val="0051429E"/>
    <w:rsid w:val="0051763C"/>
    <w:rsid w:val="005218EB"/>
    <w:rsid w:val="005247DF"/>
    <w:rsid w:val="00550016"/>
    <w:rsid w:val="00556EB5"/>
    <w:rsid w:val="005619FD"/>
    <w:rsid w:val="00567744"/>
    <w:rsid w:val="00574C05"/>
    <w:rsid w:val="00574E42"/>
    <w:rsid w:val="00596F81"/>
    <w:rsid w:val="005A2AEE"/>
    <w:rsid w:val="005A58CC"/>
    <w:rsid w:val="005A7ADF"/>
    <w:rsid w:val="005B4611"/>
    <w:rsid w:val="005C70C4"/>
    <w:rsid w:val="005D1B62"/>
    <w:rsid w:val="005D538B"/>
    <w:rsid w:val="005D5F66"/>
    <w:rsid w:val="005E26B7"/>
    <w:rsid w:val="005F479C"/>
    <w:rsid w:val="005F745C"/>
    <w:rsid w:val="006029FA"/>
    <w:rsid w:val="0060371E"/>
    <w:rsid w:val="00606A3F"/>
    <w:rsid w:val="006072A3"/>
    <w:rsid w:val="00607A12"/>
    <w:rsid w:val="00614FDF"/>
    <w:rsid w:val="006266A8"/>
    <w:rsid w:val="00627DA6"/>
    <w:rsid w:val="00640C5B"/>
    <w:rsid w:val="00657414"/>
    <w:rsid w:val="0067579A"/>
    <w:rsid w:val="00687FBB"/>
    <w:rsid w:val="00692BF0"/>
    <w:rsid w:val="006946E4"/>
    <w:rsid w:val="00696883"/>
    <w:rsid w:val="006A2B1F"/>
    <w:rsid w:val="006C3BB0"/>
    <w:rsid w:val="006C4AF3"/>
    <w:rsid w:val="006C583D"/>
    <w:rsid w:val="006D48AA"/>
    <w:rsid w:val="006D6338"/>
    <w:rsid w:val="006E1AB5"/>
    <w:rsid w:val="006E3AF1"/>
    <w:rsid w:val="006F1513"/>
    <w:rsid w:val="00700C3D"/>
    <w:rsid w:val="00704EF5"/>
    <w:rsid w:val="0070769F"/>
    <w:rsid w:val="00710A1F"/>
    <w:rsid w:val="00711863"/>
    <w:rsid w:val="00711AB6"/>
    <w:rsid w:val="00721035"/>
    <w:rsid w:val="007249A7"/>
    <w:rsid w:val="00734DD3"/>
    <w:rsid w:val="00737444"/>
    <w:rsid w:val="00740AB0"/>
    <w:rsid w:val="00744F6C"/>
    <w:rsid w:val="00747126"/>
    <w:rsid w:val="00754111"/>
    <w:rsid w:val="007548CD"/>
    <w:rsid w:val="00767FAE"/>
    <w:rsid w:val="00774A92"/>
    <w:rsid w:val="00780E43"/>
    <w:rsid w:val="00783BC4"/>
    <w:rsid w:val="007919D6"/>
    <w:rsid w:val="007A28F2"/>
    <w:rsid w:val="007A29EF"/>
    <w:rsid w:val="007D196C"/>
    <w:rsid w:val="007D5700"/>
    <w:rsid w:val="007E4F2C"/>
    <w:rsid w:val="007F1764"/>
    <w:rsid w:val="0081775B"/>
    <w:rsid w:val="00823B60"/>
    <w:rsid w:val="008260AF"/>
    <w:rsid w:val="008368F2"/>
    <w:rsid w:val="00860C8D"/>
    <w:rsid w:val="00860FEA"/>
    <w:rsid w:val="008643C4"/>
    <w:rsid w:val="00864ACC"/>
    <w:rsid w:val="00866BC4"/>
    <w:rsid w:val="00880B32"/>
    <w:rsid w:val="00880DDF"/>
    <w:rsid w:val="00886202"/>
    <w:rsid w:val="008918B8"/>
    <w:rsid w:val="00893F8D"/>
    <w:rsid w:val="008A0332"/>
    <w:rsid w:val="008B416A"/>
    <w:rsid w:val="008C186B"/>
    <w:rsid w:val="008C1CD5"/>
    <w:rsid w:val="008D07D2"/>
    <w:rsid w:val="008D1120"/>
    <w:rsid w:val="008D1286"/>
    <w:rsid w:val="008D5485"/>
    <w:rsid w:val="008D5D0B"/>
    <w:rsid w:val="008D68B9"/>
    <w:rsid w:val="008E7C57"/>
    <w:rsid w:val="008F24EC"/>
    <w:rsid w:val="008F5A09"/>
    <w:rsid w:val="008F63E7"/>
    <w:rsid w:val="008F7914"/>
    <w:rsid w:val="00901CCD"/>
    <w:rsid w:val="00904B8B"/>
    <w:rsid w:val="00905364"/>
    <w:rsid w:val="0091265D"/>
    <w:rsid w:val="00915FD5"/>
    <w:rsid w:val="00923FD6"/>
    <w:rsid w:val="00943D34"/>
    <w:rsid w:val="009500A6"/>
    <w:rsid w:val="00952EAE"/>
    <w:rsid w:val="009775A8"/>
    <w:rsid w:val="00985413"/>
    <w:rsid w:val="00994A65"/>
    <w:rsid w:val="009A6862"/>
    <w:rsid w:val="009A6E8F"/>
    <w:rsid w:val="009B2E41"/>
    <w:rsid w:val="009C5D5D"/>
    <w:rsid w:val="009D7C1F"/>
    <w:rsid w:val="009E5B4B"/>
    <w:rsid w:val="009F57DE"/>
    <w:rsid w:val="00A0082E"/>
    <w:rsid w:val="00A01D93"/>
    <w:rsid w:val="00A02BC2"/>
    <w:rsid w:val="00A05752"/>
    <w:rsid w:val="00A15943"/>
    <w:rsid w:val="00A15A8C"/>
    <w:rsid w:val="00A21183"/>
    <w:rsid w:val="00A240B1"/>
    <w:rsid w:val="00A2719A"/>
    <w:rsid w:val="00A352A6"/>
    <w:rsid w:val="00A36832"/>
    <w:rsid w:val="00A46D11"/>
    <w:rsid w:val="00A51637"/>
    <w:rsid w:val="00A61401"/>
    <w:rsid w:val="00A64418"/>
    <w:rsid w:val="00A65FA8"/>
    <w:rsid w:val="00A71700"/>
    <w:rsid w:val="00A7465D"/>
    <w:rsid w:val="00A752FC"/>
    <w:rsid w:val="00A77158"/>
    <w:rsid w:val="00A83EBE"/>
    <w:rsid w:val="00A8544E"/>
    <w:rsid w:val="00A86BF0"/>
    <w:rsid w:val="00A90E46"/>
    <w:rsid w:val="00A9183C"/>
    <w:rsid w:val="00A967B8"/>
    <w:rsid w:val="00AB7EA5"/>
    <w:rsid w:val="00AC05CC"/>
    <w:rsid w:val="00AD4A87"/>
    <w:rsid w:val="00AE2C07"/>
    <w:rsid w:val="00AE5A8F"/>
    <w:rsid w:val="00AF0070"/>
    <w:rsid w:val="00AF122B"/>
    <w:rsid w:val="00B1776A"/>
    <w:rsid w:val="00B25DD7"/>
    <w:rsid w:val="00B351D4"/>
    <w:rsid w:val="00B35A63"/>
    <w:rsid w:val="00B43A8D"/>
    <w:rsid w:val="00B44E07"/>
    <w:rsid w:val="00B47DEA"/>
    <w:rsid w:val="00B54144"/>
    <w:rsid w:val="00B566A9"/>
    <w:rsid w:val="00B660A6"/>
    <w:rsid w:val="00B669E8"/>
    <w:rsid w:val="00B70779"/>
    <w:rsid w:val="00B735AB"/>
    <w:rsid w:val="00B75C63"/>
    <w:rsid w:val="00B80B8D"/>
    <w:rsid w:val="00B81F93"/>
    <w:rsid w:val="00B850D9"/>
    <w:rsid w:val="00B871F2"/>
    <w:rsid w:val="00B91FE5"/>
    <w:rsid w:val="00B92FEB"/>
    <w:rsid w:val="00BA16F3"/>
    <w:rsid w:val="00BA28FC"/>
    <w:rsid w:val="00BB7BCF"/>
    <w:rsid w:val="00BC0CF6"/>
    <w:rsid w:val="00BC4108"/>
    <w:rsid w:val="00BC4D65"/>
    <w:rsid w:val="00BD6FF1"/>
    <w:rsid w:val="00BD7A13"/>
    <w:rsid w:val="00BE6F89"/>
    <w:rsid w:val="00BF03C0"/>
    <w:rsid w:val="00BF5884"/>
    <w:rsid w:val="00C02E62"/>
    <w:rsid w:val="00C072C2"/>
    <w:rsid w:val="00C121CA"/>
    <w:rsid w:val="00C17B82"/>
    <w:rsid w:val="00C3174C"/>
    <w:rsid w:val="00C35D55"/>
    <w:rsid w:val="00C55164"/>
    <w:rsid w:val="00C70878"/>
    <w:rsid w:val="00C86EA0"/>
    <w:rsid w:val="00C93E7A"/>
    <w:rsid w:val="00CA5FC7"/>
    <w:rsid w:val="00CB17E4"/>
    <w:rsid w:val="00CB3D29"/>
    <w:rsid w:val="00CC5B51"/>
    <w:rsid w:val="00CD64EB"/>
    <w:rsid w:val="00CE1BC0"/>
    <w:rsid w:val="00CF590E"/>
    <w:rsid w:val="00D07E59"/>
    <w:rsid w:val="00D17240"/>
    <w:rsid w:val="00D20670"/>
    <w:rsid w:val="00D30CD1"/>
    <w:rsid w:val="00D35FBB"/>
    <w:rsid w:val="00D455DB"/>
    <w:rsid w:val="00D678BC"/>
    <w:rsid w:val="00DA2856"/>
    <w:rsid w:val="00DA3883"/>
    <w:rsid w:val="00DB02B4"/>
    <w:rsid w:val="00DB5E0C"/>
    <w:rsid w:val="00DB5F85"/>
    <w:rsid w:val="00DC7BEA"/>
    <w:rsid w:val="00DD5690"/>
    <w:rsid w:val="00DE4C05"/>
    <w:rsid w:val="00DE56A2"/>
    <w:rsid w:val="00DE66F4"/>
    <w:rsid w:val="00E001C9"/>
    <w:rsid w:val="00E2048E"/>
    <w:rsid w:val="00E20E64"/>
    <w:rsid w:val="00E33885"/>
    <w:rsid w:val="00E4024B"/>
    <w:rsid w:val="00E411B7"/>
    <w:rsid w:val="00E415BA"/>
    <w:rsid w:val="00E43A7C"/>
    <w:rsid w:val="00E52432"/>
    <w:rsid w:val="00E5356B"/>
    <w:rsid w:val="00E60CEC"/>
    <w:rsid w:val="00E77D5B"/>
    <w:rsid w:val="00E77F5B"/>
    <w:rsid w:val="00E8118F"/>
    <w:rsid w:val="00E8198A"/>
    <w:rsid w:val="00E83E0B"/>
    <w:rsid w:val="00E90B01"/>
    <w:rsid w:val="00E9539D"/>
    <w:rsid w:val="00EA0A8E"/>
    <w:rsid w:val="00EA473A"/>
    <w:rsid w:val="00EA7284"/>
    <w:rsid w:val="00EB121A"/>
    <w:rsid w:val="00EB5E5D"/>
    <w:rsid w:val="00EC1339"/>
    <w:rsid w:val="00EC20F2"/>
    <w:rsid w:val="00EC4BB0"/>
    <w:rsid w:val="00EE3B45"/>
    <w:rsid w:val="00EF2745"/>
    <w:rsid w:val="00EF3288"/>
    <w:rsid w:val="00F0367E"/>
    <w:rsid w:val="00F2433D"/>
    <w:rsid w:val="00F26806"/>
    <w:rsid w:val="00F37CBE"/>
    <w:rsid w:val="00F42AE1"/>
    <w:rsid w:val="00F44E5B"/>
    <w:rsid w:val="00F44F17"/>
    <w:rsid w:val="00F64D9D"/>
    <w:rsid w:val="00F67A90"/>
    <w:rsid w:val="00F71216"/>
    <w:rsid w:val="00F766F1"/>
    <w:rsid w:val="00F86913"/>
    <w:rsid w:val="00FA2748"/>
    <w:rsid w:val="00FA3CDB"/>
    <w:rsid w:val="00FA41F7"/>
    <w:rsid w:val="00FA5BA8"/>
    <w:rsid w:val="00FB4B02"/>
    <w:rsid w:val="00FC42FB"/>
    <w:rsid w:val="00FD0A0C"/>
    <w:rsid w:val="00FD6742"/>
    <w:rsid w:val="00FE2580"/>
    <w:rsid w:val="00FE4479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BB183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76A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rsid w:val="00B871F2"/>
    <w:pPr>
      <w:keepNext/>
      <w:widowControl w:val="0"/>
      <w:ind w:left="176"/>
      <w:outlineLvl w:val="1"/>
    </w:pPr>
    <w:rPr>
      <w:rFonts w:ascii="Garamond" w:hAnsi="Garamond"/>
      <w:b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2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af">
    <w:name w:val="Название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0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1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1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af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2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3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4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3">
    <w:name w:val="Стиль2"/>
    <w:basedOn w:val="20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5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6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7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8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ad">
    <w:name w:val="Верхний колонтитул Знак"/>
    <w:basedOn w:val="a0"/>
    <w:link w:val="ac"/>
    <w:uiPriority w:val="99"/>
    <w:rsid w:val="00BC4D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D77F1-3B90-4294-8209-9D0F79D8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1798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Гирина Марина Владимировна</cp:lastModifiedBy>
  <cp:revision>10</cp:revision>
  <cp:lastPrinted>2017-11-01T12:38:00Z</cp:lastPrinted>
  <dcterms:created xsi:type="dcterms:W3CDTF">2023-01-12T12:12:00Z</dcterms:created>
  <dcterms:modified xsi:type="dcterms:W3CDTF">2023-01-23T08:59:00Z</dcterms:modified>
</cp:coreProperties>
</file>