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48" w:rsidRPr="00C423D6" w:rsidRDefault="00F84D62" w:rsidP="007D4882">
      <w:pPr>
        <w:pStyle w:val="Con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60948">
        <w:rPr>
          <w:rFonts w:ascii="Times New Roman" w:hAnsi="Times New Roman"/>
          <w:b/>
          <w:sz w:val="28"/>
          <w:szCs w:val="28"/>
        </w:rPr>
        <w:t xml:space="preserve">Извещение </w:t>
      </w:r>
      <w:r w:rsidR="00260948" w:rsidRPr="0094765E">
        <w:rPr>
          <w:rFonts w:ascii="Times New Roman" w:hAnsi="Times New Roman"/>
          <w:b/>
          <w:sz w:val="28"/>
          <w:szCs w:val="28"/>
        </w:rPr>
        <w:t xml:space="preserve">№ </w:t>
      </w:r>
      <w:r w:rsidR="00C423D6">
        <w:rPr>
          <w:rFonts w:ascii="Times New Roman" w:hAnsi="Times New Roman"/>
          <w:b/>
          <w:sz w:val="28"/>
          <w:szCs w:val="28"/>
        </w:rPr>
        <w:t>0</w:t>
      </w:r>
      <w:r w:rsidR="00CC4C73">
        <w:rPr>
          <w:rFonts w:ascii="Times New Roman" w:hAnsi="Times New Roman"/>
          <w:b/>
          <w:sz w:val="28"/>
          <w:szCs w:val="28"/>
        </w:rPr>
        <w:t>2</w:t>
      </w:r>
      <w:r w:rsidR="00D31AA0">
        <w:rPr>
          <w:rFonts w:ascii="Times New Roman" w:hAnsi="Times New Roman"/>
          <w:b/>
          <w:sz w:val="28"/>
          <w:szCs w:val="28"/>
        </w:rPr>
        <w:t>2</w:t>
      </w:r>
      <w:r w:rsidR="00C423D6" w:rsidRPr="00C423D6">
        <w:rPr>
          <w:rFonts w:ascii="Times New Roman" w:hAnsi="Times New Roman"/>
          <w:b/>
          <w:sz w:val="28"/>
          <w:szCs w:val="28"/>
        </w:rPr>
        <w:t>/</w:t>
      </w:r>
      <w:r w:rsidR="00C423D6" w:rsidRPr="00935404">
        <w:rPr>
          <w:rFonts w:ascii="Times New Roman" w:hAnsi="Times New Roman"/>
          <w:b/>
          <w:sz w:val="28"/>
          <w:szCs w:val="28"/>
        </w:rPr>
        <w:t>ГЭнергоХ/2-</w:t>
      </w:r>
      <w:r w:rsidR="00420581">
        <w:rPr>
          <w:rFonts w:ascii="Times New Roman" w:hAnsi="Times New Roman"/>
          <w:b/>
          <w:sz w:val="28"/>
          <w:szCs w:val="28"/>
        </w:rPr>
        <w:t>477</w:t>
      </w:r>
      <w:r w:rsidR="00D31AA0">
        <w:rPr>
          <w:rFonts w:ascii="Times New Roman" w:hAnsi="Times New Roman"/>
          <w:b/>
          <w:sz w:val="28"/>
          <w:szCs w:val="28"/>
        </w:rPr>
        <w:t>7</w:t>
      </w:r>
      <w:r w:rsidR="00C423D6" w:rsidRPr="00935404">
        <w:rPr>
          <w:rFonts w:ascii="Times New Roman" w:hAnsi="Times New Roman"/>
          <w:b/>
          <w:sz w:val="28"/>
          <w:szCs w:val="28"/>
        </w:rPr>
        <w:t>/</w:t>
      </w:r>
      <w:r w:rsidR="00CC4C73">
        <w:rPr>
          <w:rFonts w:ascii="Times New Roman" w:hAnsi="Times New Roman"/>
          <w:b/>
          <w:sz w:val="28"/>
          <w:szCs w:val="28"/>
        </w:rPr>
        <w:t>13</w:t>
      </w:r>
      <w:r w:rsidR="00C423D6" w:rsidRPr="00935404">
        <w:rPr>
          <w:rFonts w:ascii="Times New Roman" w:hAnsi="Times New Roman"/>
          <w:b/>
          <w:sz w:val="28"/>
          <w:szCs w:val="28"/>
        </w:rPr>
        <w:t>.</w:t>
      </w:r>
      <w:r w:rsidR="00CC4C73">
        <w:rPr>
          <w:rFonts w:ascii="Times New Roman" w:hAnsi="Times New Roman"/>
          <w:b/>
          <w:sz w:val="28"/>
          <w:szCs w:val="28"/>
        </w:rPr>
        <w:t>10</w:t>
      </w:r>
      <w:r w:rsidR="00C423D6" w:rsidRPr="00935404">
        <w:rPr>
          <w:rFonts w:ascii="Times New Roman" w:hAnsi="Times New Roman"/>
          <w:b/>
          <w:sz w:val="28"/>
          <w:szCs w:val="28"/>
        </w:rPr>
        <w:t>.11/З</w:t>
      </w:r>
    </w:p>
    <w:p w:rsidR="007D4882" w:rsidRDefault="00260948" w:rsidP="00260948">
      <w:pPr>
        <w:pStyle w:val="Con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Открытый</w:t>
      </w:r>
      <w:r w:rsidR="007D4882" w:rsidRPr="0094765E">
        <w:rPr>
          <w:rFonts w:ascii="Times New Roman" w:hAnsi="Times New Roman"/>
          <w:b/>
          <w:sz w:val="28"/>
          <w:szCs w:val="28"/>
        </w:rPr>
        <w:t xml:space="preserve"> </w:t>
      </w:r>
      <w:r w:rsidR="005C7F43">
        <w:rPr>
          <w:rFonts w:ascii="Times New Roman" w:hAnsi="Times New Roman"/>
          <w:b/>
          <w:sz w:val="28"/>
          <w:szCs w:val="28"/>
        </w:rPr>
        <w:t>запрос предложений</w:t>
      </w:r>
    </w:p>
    <w:p w:rsidR="0033576D" w:rsidRPr="0033576D" w:rsidRDefault="0033576D" w:rsidP="00260948">
      <w:pPr>
        <w:pStyle w:val="ConsNonformat"/>
        <w:widowControl/>
        <w:jc w:val="center"/>
        <w:rPr>
          <w:rFonts w:ascii="Times New Roman" w:hAnsi="Times New Roman"/>
          <w:sz w:val="24"/>
          <w:szCs w:val="24"/>
        </w:rPr>
      </w:pPr>
    </w:p>
    <w:p w:rsidR="00C423D6" w:rsidRPr="00C423D6" w:rsidRDefault="00C423D6" w:rsidP="00C423D6">
      <w:pPr>
        <w:shd w:val="clear" w:color="auto" w:fill="FFFFFF"/>
        <w:ind w:left="-360"/>
        <w:jc w:val="both"/>
        <w:rPr>
          <w:b/>
          <w:bCs/>
        </w:rPr>
      </w:pPr>
      <w:r w:rsidRPr="00C423D6">
        <w:rPr>
          <w:b/>
          <w:szCs w:val="28"/>
        </w:rPr>
        <w:t>Наименование заказчика:</w:t>
      </w:r>
      <w:r w:rsidRPr="00C423D6">
        <w:rPr>
          <w:szCs w:val="28"/>
        </w:rPr>
        <w:t xml:space="preserve"> </w:t>
      </w:r>
      <w:r w:rsidRPr="00695FC2">
        <w:rPr>
          <w:szCs w:val="28"/>
        </w:rPr>
        <w:t>ООО «Газпром энергохолдинг» (Россия, 119526, г. Москва, пр-т Вернадского, д. 101, стр. 3), являющ</w:t>
      </w:r>
      <w:r>
        <w:rPr>
          <w:szCs w:val="28"/>
        </w:rPr>
        <w:t>ее</w:t>
      </w:r>
      <w:r w:rsidRPr="00695FC2">
        <w:rPr>
          <w:szCs w:val="28"/>
        </w:rPr>
        <w:t xml:space="preserve">ся  Заказчиком и Организатором открытого Запроса предложений (далее – Запрос предложений), </w:t>
      </w:r>
      <w:r>
        <w:rPr>
          <w:szCs w:val="28"/>
        </w:rPr>
        <w:t xml:space="preserve">настоящим </w:t>
      </w:r>
      <w:r w:rsidRPr="00695FC2">
        <w:rPr>
          <w:szCs w:val="28"/>
        </w:rPr>
        <w:t>пригла</w:t>
      </w:r>
      <w:r>
        <w:rPr>
          <w:szCs w:val="28"/>
        </w:rPr>
        <w:t>шает</w:t>
      </w:r>
      <w:r w:rsidRPr="00695FC2">
        <w:rPr>
          <w:szCs w:val="28"/>
        </w:rPr>
        <w:t xml:space="preserve"> юридических лиц (далее – Участники / Исполнители), к участию в </w:t>
      </w:r>
      <w:r w:rsidR="001C6E69">
        <w:rPr>
          <w:szCs w:val="28"/>
        </w:rPr>
        <w:t xml:space="preserve">открытом </w:t>
      </w:r>
      <w:r w:rsidRPr="00695FC2">
        <w:rPr>
          <w:szCs w:val="28"/>
        </w:rPr>
        <w:t>Запросе предложений</w:t>
      </w:r>
      <w:r w:rsidR="001C6E69">
        <w:rPr>
          <w:szCs w:val="28"/>
        </w:rPr>
        <w:t>.</w:t>
      </w:r>
    </w:p>
    <w:p w:rsidR="00C423D6" w:rsidRDefault="0033576D" w:rsidP="00C423D6">
      <w:pPr>
        <w:shd w:val="clear" w:color="auto" w:fill="FFFFFF"/>
        <w:ind w:left="-360"/>
        <w:jc w:val="both"/>
      </w:pPr>
      <w:r w:rsidRPr="00947500">
        <w:rPr>
          <w:b/>
          <w:bCs/>
        </w:rPr>
        <w:t xml:space="preserve">Предмет </w:t>
      </w:r>
      <w:r w:rsidR="00927F27">
        <w:rPr>
          <w:b/>
          <w:bCs/>
        </w:rPr>
        <w:t>запроса предложений</w:t>
      </w:r>
      <w:r w:rsidRPr="00947500">
        <w:rPr>
          <w:b/>
          <w:bCs/>
        </w:rPr>
        <w:t>:</w:t>
      </w:r>
      <w:r w:rsidRPr="0033576D">
        <w:rPr>
          <w:b/>
        </w:rPr>
        <w:t xml:space="preserve"> </w:t>
      </w:r>
      <w:r w:rsidRPr="0037505B">
        <w:t xml:space="preserve">Право </w:t>
      </w:r>
      <w:r w:rsidR="00FC570B" w:rsidRPr="0037505B">
        <w:t xml:space="preserve">заключения договора </w:t>
      </w:r>
      <w:r w:rsidR="00563A51" w:rsidRPr="0037505B">
        <w:t>на</w:t>
      </w:r>
      <w:r w:rsidR="00D8519C" w:rsidRPr="00AE148C">
        <w:t xml:space="preserve"> </w:t>
      </w:r>
      <w:r w:rsidR="00D31AA0" w:rsidRPr="006B3079">
        <w:t>консалтинговые услуги по сопровождению регулирования тарифов на передачу тепловой энергии с применением метода доходности инвестированного капитала с 01.01.2012 г</w:t>
      </w:r>
      <w:r w:rsidR="00D31AA0">
        <w:t>ода</w:t>
      </w:r>
      <w:r w:rsidR="00C314B3">
        <w:t>.</w:t>
      </w:r>
    </w:p>
    <w:p w:rsidR="009429B3" w:rsidRPr="009429B3" w:rsidRDefault="009429B3" w:rsidP="00C423D6">
      <w:pPr>
        <w:shd w:val="clear" w:color="auto" w:fill="FFFFFF"/>
        <w:ind w:left="-360"/>
        <w:jc w:val="both"/>
        <w:rPr>
          <w:b/>
        </w:rPr>
      </w:pPr>
      <w:r>
        <w:rPr>
          <w:b/>
        </w:rPr>
        <w:t>Место оказание услуг</w:t>
      </w:r>
      <w:r w:rsidRPr="009429B3">
        <w:rPr>
          <w:b/>
        </w:rPr>
        <w:t>:</w:t>
      </w:r>
      <w:r>
        <w:rPr>
          <w:b/>
        </w:rPr>
        <w:t xml:space="preserve"> </w:t>
      </w:r>
      <w:r w:rsidRPr="009429B3">
        <w:t>Москва</w:t>
      </w:r>
      <w:r>
        <w:t xml:space="preserve">, </w:t>
      </w:r>
      <w:r w:rsidRPr="00695FC2">
        <w:rPr>
          <w:szCs w:val="28"/>
        </w:rPr>
        <w:t>пр-т Вернадского, д. 101, стр. 3</w:t>
      </w:r>
    </w:p>
    <w:p w:rsidR="009429B3" w:rsidRDefault="009429B3" w:rsidP="009429B3">
      <w:pPr>
        <w:ind w:left="-360"/>
        <w:jc w:val="both"/>
      </w:pPr>
      <w:r>
        <w:rPr>
          <w:b/>
        </w:rPr>
        <w:t>Расчетная (максимальная)</w:t>
      </w:r>
      <w:r w:rsidRPr="00260948">
        <w:rPr>
          <w:b/>
        </w:rPr>
        <w:t xml:space="preserve"> цена: </w:t>
      </w:r>
      <w:r w:rsidR="00D31AA0" w:rsidRPr="00B215A8">
        <w:rPr>
          <w:szCs w:val="28"/>
        </w:rPr>
        <w:t>19 470 000 (девятнадцать миллионов четыреста семьдесят тысяч)  рублей с</w:t>
      </w:r>
      <w:r w:rsidR="00D31AA0" w:rsidRPr="00796085">
        <w:rPr>
          <w:szCs w:val="28"/>
        </w:rPr>
        <w:t xml:space="preserve"> НДС</w:t>
      </w:r>
      <w:r>
        <w:t>.</w:t>
      </w:r>
    </w:p>
    <w:p w:rsidR="0033576D" w:rsidRDefault="0033576D" w:rsidP="00C423D6">
      <w:pPr>
        <w:shd w:val="clear" w:color="auto" w:fill="FFFFFF"/>
        <w:ind w:left="-360"/>
        <w:jc w:val="both"/>
      </w:pPr>
      <w:r w:rsidRPr="00C423D6">
        <w:rPr>
          <w:b/>
        </w:rPr>
        <w:t>Лоты</w:t>
      </w:r>
      <w:r w:rsidRPr="0033576D">
        <w:t xml:space="preserve">: </w:t>
      </w:r>
      <w:r w:rsidRPr="00C423D6">
        <w:t>од</w:t>
      </w:r>
      <w:r w:rsidR="001C6E69">
        <w:t>и</w:t>
      </w:r>
      <w:r w:rsidRPr="00C423D6">
        <w:t>н</w:t>
      </w:r>
      <w:r w:rsidRPr="0033576D">
        <w:t>.</w:t>
      </w:r>
    </w:p>
    <w:p w:rsidR="00D961D0" w:rsidRPr="00BC1B43" w:rsidRDefault="00D961D0" w:rsidP="00D961D0">
      <w:pPr>
        <w:ind w:left="-360"/>
        <w:jc w:val="both"/>
      </w:pPr>
      <w:r w:rsidRPr="00260948">
        <w:rPr>
          <w:b/>
        </w:rPr>
        <w:t xml:space="preserve">Условия выдачи </w:t>
      </w:r>
      <w:r w:rsidR="0016797D" w:rsidRPr="0016797D">
        <w:rPr>
          <w:b/>
        </w:rPr>
        <w:t>документации по запросу предложений</w:t>
      </w:r>
      <w:r w:rsidRPr="0016797D">
        <w:rPr>
          <w:b/>
        </w:rPr>
        <w:t>:</w:t>
      </w:r>
      <w:r w:rsidRPr="00260948">
        <w:rPr>
          <w:b/>
        </w:rPr>
        <w:t xml:space="preserve"> </w:t>
      </w:r>
      <w:r w:rsidR="00BC1B43" w:rsidRPr="00695FC2">
        <w:rPr>
          <w:szCs w:val="28"/>
        </w:rPr>
        <w:t xml:space="preserve">Подробное описание </w:t>
      </w:r>
      <w:r w:rsidR="00BC1B43" w:rsidRPr="002300B5">
        <w:rPr>
          <w:szCs w:val="28"/>
        </w:rPr>
        <w:t>услуг</w:t>
      </w:r>
      <w:r w:rsidR="00BC1B43" w:rsidRPr="00695FC2">
        <w:rPr>
          <w:szCs w:val="28"/>
        </w:rPr>
        <w:t xml:space="preserve"> и условий Договора, а также </w:t>
      </w:r>
      <w:r w:rsidR="001C6E69">
        <w:rPr>
          <w:szCs w:val="28"/>
        </w:rPr>
        <w:t xml:space="preserve">проведение </w:t>
      </w:r>
      <w:r w:rsidR="00BC1B43" w:rsidRPr="00695FC2">
        <w:rPr>
          <w:szCs w:val="28"/>
        </w:rPr>
        <w:t>процедур</w:t>
      </w:r>
      <w:r w:rsidR="001C6E69">
        <w:rPr>
          <w:szCs w:val="28"/>
        </w:rPr>
        <w:t xml:space="preserve">ы открытого </w:t>
      </w:r>
      <w:r w:rsidR="00BC1B43" w:rsidRPr="00695FC2">
        <w:rPr>
          <w:szCs w:val="28"/>
        </w:rPr>
        <w:t xml:space="preserve"> </w:t>
      </w:r>
      <w:r w:rsidR="00BC1B43" w:rsidRPr="002300B5">
        <w:rPr>
          <w:szCs w:val="28"/>
        </w:rPr>
        <w:t>запроса предложений</w:t>
      </w:r>
      <w:r w:rsidR="00BC1B43" w:rsidRPr="00695FC2">
        <w:rPr>
          <w:szCs w:val="28"/>
        </w:rPr>
        <w:t xml:space="preserve"> содержится в </w:t>
      </w:r>
      <w:r w:rsidR="00BC1B43" w:rsidRPr="002300B5">
        <w:rPr>
          <w:bCs/>
          <w:szCs w:val="28"/>
        </w:rPr>
        <w:t>Документации о</w:t>
      </w:r>
      <w:r w:rsidR="001C6E69">
        <w:rPr>
          <w:bCs/>
          <w:szCs w:val="28"/>
        </w:rPr>
        <w:t>б открытом</w:t>
      </w:r>
      <w:r w:rsidR="00BC1B43" w:rsidRPr="002300B5">
        <w:rPr>
          <w:bCs/>
          <w:szCs w:val="28"/>
        </w:rPr>
        <w:t xml:space="preserve"> запросе предложений</w:t>
      </w:r>
      <w:r w:rsidR="00BC1B43" w:rsidRPr="00695FC2">
        <w:rPr>
          <w:szCs w:val="28"/>
        </w:rPr>
        <w:t xml:space="preserve">, которая </w:t>
      </w:r>
      <w:r w:rsidR="00BC1B43" w:rsidRPr="002300B5">
        <w:rPr>
          <w:szCs w:val="28"/>
        </w:rPr>
        <w:t xml:space="preserve">доступна для ознакомления на официальном Интернет-сайте ОАО «Газпром» </w:t>
      </w:r>
      <w:r w:rsidR="00BC1B43" w:rsidRPr="00695FC2">
        <w:rPr>
          <w:szCs w:val="28"/>
        </w:rPr>
        <w:t>(</w:t>
      </w:r>
      <w:hyperlink r:id="rId7" w:history="1">
        <w:r w:rsidR="00BC1B43" w:rsidRPr="00695FC2">
          <w:rPr>
            <w:rStyle w:val="a4"/>
            <w:szCs w:val="28"/>
          </w:rPr>
          <w:t>www.gazprom.ru</w:t>
        </w:r>
      </w:hyperlink>
      <w:r w:rsidR="00BC1B43" w:rsidRPr="00695FC2">
        <w:rPr>
          <w:szCs w:val="28"/>
        </w:rPr>
        <w:t>)</w:t>
      </w:r>
      <w:r w:rsidR="00BC1B43">
        <w:rPr>
          <w:szCs w:val="28"/>
        </w:rPr>
        <w:t xml:space="preserve">, либо может быть </w:t>
      </w:r>
      <w:r w:rsidR="00BC1B43" w:rsidRPr="002300B5">
        <w:rPr>
          <w:szCs w:val="28"/>
        </w:rPr>
        <w:t>предоставл</w:t>
      </w:r>
      <w:r w:rsidR="00BC1B43">
        <w:rPr>
          <w:szCs w:val="28"/>
        </w:rPr>
        <w:t>ена</w:t>
      </w:r>
      <w:r w:rsidR="00BC1B43" w:rsidRPr="002300B5">
        <w:rPr>
          <w:szCs w:val="28"/>
        </w:rPr>
        <w:t xml:space="preserve"> в письменной форме </w:t>
      </w:r>
      <w:r w:rsidR="00BC1B43" w:rsidRPr="00FE036C">
        <w:rPr>
          <w:szCs w:val="28"/>
        </w:rPr>
        <w:t xml:space="preserve">любому </w:t>
      </w:r>
      <w:r w:rsidR="00BC1B43" w:rsidRPr="00FE036C">
        <w:rPr>
          <w:bCs/>
          <w:szCs w:val="28"/>
        </w:rPr>
        <w:t>заинтересованному лицу на основании его за</w:t>
      </w:r>
      <w:r w:rsidR="001C6E69" w:rsidRPr="00FE036C">
        <w:rPr>
          <w:bCs/>
          <w:szCs w:val="28"/>
        </w:rPr>
        <w:t xml:space="preserve">проса и </w:t>
      </w:r>
      <w:r w:rsidR="00CC4C73">
        <w:rPr>
          <w:bCs/>
          <w:szCs w:val="28"/>
        </w:rPr>
        <w:t>Уведомление</w:t>
      </w:r>
      <w:r w:rsidR="00BC1B43" w:rsidRPr="00FE036C">
        <w:rPr>
          <w:bCs/>
          <w:szCs w:val="28"/>
        </w:rPr>
        <w:t xml:space="preserve"> </w:t>
      </w:r>
      <w:r w:rsidRPr="00FE036C">
        <w:t xml:space="preserve">по адресу </w:t>
      </w:r>
      <w:r w:rsidRPr="00935404">
        <w:rPr>
          <w:szCs w:val="20"/>
        </w:rPr>
        <w:t>Организатора</w:t>
      </w:r>
      <w:r w:rsidRPr="00935404">
        <w:t>, до «</w:t>
      </w:r>
      <w:r w:rsidR="00CC4C73">
        <w:t>02</w:t>
      </w:r>
      <w:r w:rsidRPr="00935404">
        <w:t xml:space="preserve">» </w:t>
      </w:r>
      <w:r w:rsidR="00CC4C73">
        <w:t>ноября</w:t>
      </w:r>
      <w:r w:rsidRPr="0009137A">
        <w:t xml:space="preserve"> 20</w:t>
      </w:r>
      <w:r w:rsidR="00065926" w:rsidRPr="0009137A">
        <w:t>1</w:t>
      </w:r>
      <w:r w:rsidR="00123979" w:rsidRPr="0009137A">
        <w:t>1</w:t>
      </w:r>
      <w:r w:rsidRPr="0009137A">
        <w:t>г</w:t>
      </w:r>
      <w:r w:rsidR="00BC1B43" w:rsidRPr="0009137A">
        <w:t>:</w:t>
      </w:r>
    </w:p>
    <w:p w:rsidR="00D961D0" w:rsidRDefault="00D961D0" w:rsidP="00D961D0">
      <w:pPr>
        <w:jc w:val="both"/>
      </w:pPr>
      <w:r>
        <w:sym w:font="Symbol" w:char="F0B7"/>
      </w:r>
      <w:r w:rsidR="00BC1B43">
        <w:t xml:space="preserve"> </w:t>
      </w:r>
      <w:r>
        <w:t xml:space="preserve">в электронном виде – </w:t>
      </w:r>
      <w:r w:rsidR="0016797D">
        <w:t>д</w:t>
      </w:r>
      <w:r w:rsidR="0016797D" w:rsidRPr="00F71CE2">
        <w:t>окументац</w:t>
      </w:r>
      <w:r w:rsidR="0016797D">
        <w:t>и</w:t>
      </w:r>
      <w:r w:rsidR="00BC1B43">
        <w:t>я</w:t>
      </w:r>
      <w:r w:rsidR="0016797D">
        <w:t xml:space="preserve"> по запросу предложений </w:t>
      </w:r>
      <w:r>
        <w:t xml:space="preserve">размещена на официальном  Интернет-сайте ОАО «Газпром» (www.gazprom.ru). Для участия в </w:t>
      </w:r>
      <w:r w:rsidR="00091B8D">
        <w:t>запросе предложений</w:t>
      </w:r>
      <w:r>
        <w:t xml:space="preserve"> Претендент должен направить на адрес электронной почты </w:t>
      </w:r>
      <w:hyperlink r:id="rId8" w:history="1">
        <w:r w:rsidR="00CC4C73" w:rsidRPr="00B16BFB">
          <w:rPr>
            <w:rStyle w:val="a4"/>
          </w:rPr>
          <w:t>a.</w:t>
        </w:r>
        <w:r w:rsidR="00CC4C73" w:rsidRPr="00B16BFB">
          <w:rPr>
            <w:rStyle w:val="a4"/>
            <w:lang w:val="en-US"/>
          </w:rPr>
          <w:t>kovel</w:t>
        </w:r>
        <w:r w:rsidR="00CC4C73" w:rsidRPr="00B16BFB">
          <w:rPr>
            <w:rStyle w:val="a4"/>
          </w:rPr>
          <w:t>@gazenergocom.ru</w:t>
        </w:r>
      </w:hyperlink>
      <w:r w:rsidR="00AB794F">
        <w:t xml:space="preserve"> </w:t>
      </w:r>
      <w:r>
        <w:t xml:space="preserve">в формате Word и в отсканированном виде уведомление о согласии принять участие в конкурсе. </w:t>
      </w:r>
    </w:p>
    <w:p w:rsidR="00D961D0" w:rsidRDefault="00D961D0" w:rsidP="00D961D0">
      <w:pPr>
        <w:jc w:val="both"/>
      </w:pPr>
      <w:r>
        <w:t>Уведомление должно быть подготовлено в соответствии с прилагаемой формой (анкета), а также направлено не позднее даты окончания приёма заявок.</w:t>
      </w:r>
    </w:p>
    <w:p w:rsidR="00D961D0" w:rsidRDefault="00D961D0" w:rsidP="00D961D0">
      <w:pPr>
        <w:jc w:val="both"/>
      </w:pPr>
      <w:r>
        <w:sym w:font="Symbol" w:char="F0B7"/>
      </w:r>
      <w:r>
        <w:t xml:space="preserve">  в печатном виде - по адресу Организатора до даты окончания приема заявок на основании уведомления о согласии принять участие в </w:t>
      </w:r>
      <w:r w:rsidR="00091B8D">
        <w:t>запросе предложений</w:t>
      </w:r>
      <w:r>
        <w:t xml:space="preserve">, подготовленного по установленной форме. 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>Финансирование:</w:t>
      </w:r>
      <w:r>
        <w:t xml:space="preserve"> </w:t>
      </w:r>
      <w:r w:rsidRPr="00F343ED">
        <w:t>за счет собственных средств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>Условия оплаты:</w:t>
      </w:r>
      <w:r>
        <w:t xml:space="preserve"> в соответствии с д</w:t>
      </w:r>
      <w:r w:rsidRPr="00F71CE2">
        <w:t>окументац</w:t>
      </w:r>
      <w:r>
        <w:t>ией по запросу предложений.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>Критерии оценки заявок:</w:t>
      </w:r>
      <w:r>
        <w:t xml:space="preserve"> в соответствии с д</w:t>
      </w:r>
      <w:r w:rsidRPr="00F71CE2">
        <w:t>окументац</w:t>
      </w:r>
      <w:r>
        <w:t>и</w:t>
      </w:r>
      <w:r w:rsidRPr="00F71CE2">
        <w:t>и</w:t>
      </w:r>
      <w:r>
        <w:t xml:space="preserve"> по запросу предложений.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>Обеспечение заявки</w:t>
      </w:r>
      <w:r>
        <w:rPr>
          <w:b/>
        </w:rPr>
        <w:t>:</w:t>
      </w:r>
      <w:r>
        <w:t xml:space="preserve"> не требуется.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>Обеспечение контракта</w:t>
      </w:r>
      <w:r>
        <w:t>: не требуется.</w:t>
      </w:r>
    </w:p>
    <w:p w:rsidR="00D31AA0" w:rsidRDefault="00D31AA0" w:rsidP="00026355">
      <w:pPr>
        <w:ind w:left="-360"/>
        <w:jc w:val="both"/>
      </w:pPr>
      <w:r w:rsidRPr="00D31AA0">
        <w:rPr>
          <w:b/>
        </w:rPr>
        <w:t>Обеспечение возврата аванса:</w:t>
      </w:r>
      <w:r>
        <w:t xml:space="preserve"> требуется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 xml:space="preserve">Стоимость </w:t>
      </w:r>
      <w:r w:rsidRPr="0016797D">
        <w:rPr>
          <w:b/>
        </w:rPr>
        <w:t>документации по запросу предложений</w:t>
      </w:r>
      <w:r>
        <w:t xml:space="preserve"> – бесплатно.</w:t>
      </w:r>
    </w:p>
    <w:p w:rsidR="00BC1B43" w:rsidRDefault="00BC1B43" w:rsidP="00D961D0">
      <w:pPr>
        <w:ind w:left="-360"/>
        <w:jc w:val="both"/>
        <w:rPr>
          <w:b/>
          <w:bCs/>
          <w:u w:val="single"/>
        </w:rPr>
      </w:pPr>
    </w:p>
    <w:p w:rsidR="00D961D0" w:rsidRDefault="00D961D0" w:rsidP="00D961D0">
      <w:pPr>
        <w:ind w:left="-36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Информация о </w:t>
      </w:r>
      <w:r w:rsidR="00091B8D" w:rsidRPr="00091B8D">
        <w:rPr>
          <w:b/>
          <w:bCs/>
          <w:u w:val="single"/>
        </w:rPr>
        <w:t>запросе предложений</w:t>
      </w:r>
    </w:p>
    <w:p w:rsidR="00D961D0" w:rsidRDefault="00D961D0" w:rsidP="00D961D0">
      <w:pPr>
        <w:ind w:left="-360"/>
        <w:jc w:val="both"/>
        <w:rPr>
          <w:b/>
          <w:bCs/>
          <w:sz w:val="18"/>
          <w:szCs w:val="18"/>
          <w:u w:val="single"/>
        </w:rPr>
      </w:pPr>
    </w:p>
    <w:p w:rsidR="00D961D0" w:rsidRPr="00935404" w:rsidRDefault="00D961D0" w:rsidP="00D961D0">
      <w:pPr>
        <w:ind w:left="-360"/>
        <w:jc w:val="both"/>
        <w:rPr>
          <w:szCs w:val="20"/>
        </w:rPr>
      </w:pPr>
      <w:r w:rsidRPr="00935404">
        <w:rPr>
          <w:b/>
          <w:szCs w:val="20"/>
        </w:rPr>
        <w:t>Дата начала приема заявок</w:t>
      </w:r>
      <w:r w:rsidRPr="00935404">
        <w:rPr>
          <w:szCs w:val="20"/>
        </w:rPr>
        <w:t>: «</w:t>
      </w:r>
      <w:r w:rsidR="00CC4C73">
        <w:rPr>
          <w:szCs w:val="20"/>
        </w:rPr>
        <w:t>13</w:t>
      </w:r>
      <w:r w:rsidR="00C33010" w:rsidRPr="00935404">
        <w:rPr>
          <w:szCs w:val="20"/>
        </w:rPr>
        <w:t>»</w:t>
      </w:r>
      <w:r w:rsidRPr="00935404">
        <w:rPr>
          <w:szCs w:val="20"/>
        </w:rPr>
        <w:t xml:space="preserve"> </w:t>
      </w:r>
      <w:r w:rsidR="00373084">
        <w:rPr>
          <w:szCs w:val="20"/>
        </w:rPr>
        <w:t>октя</w:t>
      </w:r>
      <w:r w:rsidR="00CC4C73">
        <w:rPr>
          <w:szCs w:val="20"/>
        </w:rPr>
        <w:t>бря</w:t>
      </w:r>
      <w:r w:rsidRPr="00935404">
        <w:rPr>
          <w:szCs w:val="20"/>
        </w:rPr>
        <w:t xml:space="preserve"> 20</w:t>
      </w:r>
      <w:r w:rsidR="00123979" w:rsidRPr="00935404">
        <w:rPr>
          <w:szCs w:val="20"/>
        </w:rPr>
        <w:t>1</w:t>
      </w:r>
      <w:r w:rsidR="00091B8D" w:rsidRPr="00935404">
        <w:rPr>
          <w:szCs w:val="20"/>
        </w:rPr>
        <w:t>1</w:t>
      </w:r>
      <w:r w:rsidRPr="00935404">
        <w:rPr>
          <w:szCs w:val="20"/>
        </w:rPr>
        <w:t>г.</w:t>
      </w:r>
    </w:p>
    <w:p w:rsidR="00D961D0" w:rsidRPr="00935404" w:rsidRDefault="00D961D0" w:rsidP="00D961D0">
      <w:pPr>
        <w:ind w:left="-360"/>
        <w:jc w:val="both"/>
        <w:rPr>
          <w:szCs w:val="20"/>
        </w:rPr>
      </w:pPr>
      <w:r w:rsidRPr="00935404">
        <w:rPr>
          <w:b/>
          <w:szCs w:val="20"/>
        </w:rPr>
        <w:t>Дата, время и место окончания приема заявок</w:t>
      </w:r>
      <w:r w:rsidRPr="00935404">
        <w:rPr>
          <w:szCs w:val="20"/>
        </w:rPr>
        <w:t xml:space="preserve">: </w:t>
      </w:r>
      <w:r w:rsidR="00CC4C73" w:rsidRPr="00935404">
        <w:rPr>
          <w:szCs w:val="20"/>
        </w:rPr>
        <w:t>«</w:t>
      </w:r>
      <w:r w:rsidR="00373084">
        <w:rPr>
          <w:szCs w:val="20"/>
        </w:rPr>
        <w:t>02</w:t>
      </w:r>
      <w:r w:rsidR="00CC4C73" w:rsidRPr="00935404">
        <w:rPr>
          <w:szCs w:val="20"/>
        </w:rPr>
        <w:t xml:space="preserve">» </w:t>
      </w:r>
      <w:r w:rsidR="00CC4C73">
        <w:rPr>
          <w:szCs w:val="20"/>
        </w:rPr>
        <w:t>ноября</w:t>
      </w:r>
      <w:r w:rsidRPr="00935404">
        <w:t xml:space="preserve"> 20</w:t>
      </w:r>
      <w:r w:rsidR="00113BEE" w:rsidRPr="00935404">
        <w:t>1</w:t>
      </w:r>
      <w:r w:rsidR="00123979" w:rsidRPr="00935404">
        <w:t>1</w:t>
      </w:r>
      <w:r w:rsidRPr="00935404">
        <w:t>г.</w:t>
      </w:r>
      <w:r w:rsidR="009E52B5" w:rsidRPr="00935404">
        <w:t xml:space="preserve"> 1</w:t>
      </w:r>
      <w:r w:rsidR="00CC4C73">
        <w:t>5</w:t>
      </w:r>
      <w:r w:rsidR="009E52B5" w:rsidRPr="00935404">
        <w:t>:00 (МСК)</w:t>
      </w:r>
      <w:r w:rsidRPr="00935404">
        <w:rPr>
          <w:szCs w:val="20"/>
        </w:rPr>
        <w:t>, по адресу Организатора.</w:t>
      </w:r>
    </w:p>
    <w:p w:rsidR="00D961D0" w:rsidRPr="00935404" w:rsidRDefault="00D961D0" w:rsidP="00D961D0">
      <w:pPr>
        <w:ind w:left="-360"/>
        <w:jc w:val="both"/>
        <w:rPr>
          <w:szCs w:val="20"/>
        </w:rPr>
      </w:pPr>
      <w:r w:rsidRPr="00935404">
        <w:rPr>
          <w:b/>
          <w:szCs w:val="20"/>
        </w:rPr>
        <w:t>Дата, время и место вскрытия конвертов</w:t>
      </w:r>
      <w:r w:rsidRPr="00935404">
        <w:rPr>
          <w:szCs w:val="20"/>
        </w:rPr>
        <w:t xml:space="preserve">: </w:t>
      </w:r>
      <w:r w:rsidR="00CC4C73" w:rsidRPr="00935404">
        <w:rPr>
          <w:szCs w:val="20"/>
        </w:rPr>
        <w:t>«</w:t>
      </w:r>
      <w:r w:rsidR="00373084">
        <w:rPr>
          <w:szCs w:val="20"/>
        </w:rPr>
        <w:t>02</w:t>
      </w:r>
      <w:r w:rsidR="00CC4C73" w:rsidRPr="00935404">
        <w:rPr>
          <w:szCs w:val="20"/>
        </w:rPr>
        <w:t xml:space="preserve">» </w:t>
      </w:r>
      <w:r w:rsidR="00CC4C73">
        <w:rPr>
          <w:szCs w:val="20"/>
        </w:rPr>
        <w:t>ноября</w:t>
      </w:r>
      <w:r w:rsidRPr="00935404">
        <w:t xml:space="preserve"> 20</w:t>
      </w:r>
      <w:r w:rsidR="00113BEE" w:rsidRPr="00935404">
        <w:t>1</w:t>
      </w:r>
      <w:r w:rsidR="00123979" w:rsidRPr="00935404">
        <w:t>1</w:t>
      </w:r>
      <w:r w:rsidRPr="00935404">
        <w:t>г.</w:t>
      </w:r>
      <w:r w:rsidR="009E52B5" w:rsidRPr="00935404">
        <w:t xml:space="preserve"> </w:t>
      </w:r>
      <w:r w:rsidR="00CC4C73">
        <w:t>15:00</w:t>
      </w:r>
      <w:r w:rsidR="008B352B" w:rsidRPr="00935404">
        <w:t xml:space="preserve"> (МСК)</w:t>
      </w:r>
      <w:r w:rsidRPr="00935404">
        <w:rPr>
          <w:szCs w:val="20"/>
        </w:rPr>
        <w:t xml:space="preserve">, по адресу </w:t>
      </w:r>
      <w:r w:rsidR="009E52B5" w:rsidRPr="00935404">
        <w:rPr>
          <w:szCs w:val="20"/>
        </w:rPr>
        <w:t>Организатора</w:t>
      </w:r>
    </w:p>
    <w:p w:rsidR="00D961D0" w:rsidRPr="00761568" w:rsidRDefault="00D961D0" w:rsidP="00D961D0">
      <w:pPr>
        <w:ind w:left="-360"/>
        <w:jc w:val="both"/>
        <w:rPr>
          <w:szCs w:val="20"/>
        </w:rPr>
      </w:pPr>
      <w:r w:rsidRPr="00935404">
        <w:rPr>
          <w:b/>
          <w:szCs w:val="20"/>
        </w:rPr>
        <w:t>Дата, время, и место подведения итогов</w:t>
      </w:r>
      <w:r w:rsidRPr="00935404">
        <w:rPr>
          <w:szCs w:val="20"/>
        </w:rPr>
        <w:t xml:space="preserve">: </w:t>
      </w:r>
      <w:r w:rsidR="00CC4C73">
        <w:rPr>
          <w:szCs w:val="20"/>
        </w:rPr>
        <w:t>ноябрь</w:t>
      </w:r>
      <w:r w:rsidR="00947500" w:rsidRPr="00935404">
        <w:rPr>
          <w:szCs w:val="20"/>
        </w:rPr>
        <w:t xml:space="preserve"> 201</w:t>
      </w:r>
      <w:r w:rsidR="00123979" w:rsidRPr="00935404">
        <w:rPr>
          <w:szCs w:val="20"/>
        </w:rPr>
        <w:t>1</w:t>
      </w:r>
      <w:r w:rsidRPr="00935404">
        <w:rPr>
          <w:szCs w:val="20"/>
        </w:rPr>
        <w:t xml:space="preserve"> г., по адресу Организатора.</w:t>
      </w:r>
    </w:p>
    <w:p w:rsidR="007D4882" w:rsidRPr="00761568" w:rsidRDefault="007D4882" w:rsidP="005C0DE2">
      <w:pPr>
        <w:ind w:left="-360"/>
        <w:jc w:val="both"/>
        <w:rPr>
          <w:sz w:val="18"/>
          <w:szCs w:val="18"/>
        </w:rPr>
      </w:pPr>
    </w:p>
    <w:p w:rsidR="00BC771B" w:rsidRDefault="007D4882" w:rsidP="00BC771B">
      <w:pPr>
        <w:ind w:left="-360"/>
        <w:jc w:val="both"/>
        <w:rPr>
          <w:b/>
          <w:bCs/>
          <w:u w:val="single"/>
        </w:rPr>
      </w:pPr>
      <w:r w:rsidRPr="00761568">
        <w:rPr>
          <w:b/>
          <w:bCs/>
          <w:u w:val="single"/>
        </w:rPr>
        <w:t>Организатор</w:t>
      </w:r>
    </w:p>
    <w:p w:rsidR="00641AD6" w:rsidRDefault="00641AD6" w:rsidP="00641AD6">
      <w:pPr>
        <w:ind w:left="-360"/>
        <w:jc w:val="both"/>
        <w:rPr>
          <w:rFonts w:cs="Courier New"/>
          <w:b/>
          <w:szCs w:val="20"/>
        </w:rPr>
      </w:pPr>
      <w:r w:rsidRPr="00641AD6">
        <w:rPr>
          <w:rFonts w:cs="Courier New"/>
          <w:b/>
          <w:szCs w:val="20"/>
        </w:rPr>
        <w:t>ООО «Газпром энергохолдинг»</w:t>
      </w:r>
    </w:p>
    <w:p w:rsidR="00641AD6" w:rsidRPr="00641AD6" w:rsidRDefault="007D4882" w:rsidP="00641AD6">
      <w:pPr>
        <w:ind w:left="-360"/>
        <w:jc w:val="both"/>
        <w:rPr>
          <w:rFonts w:cs="Courier New"/>
          <w:b/>
          <w:szCs w:val="20"/>
        </w:rPr>
      </w:pPr>
      <w:r w:rsidRPr="000565B9">
        <w:rPr>
          <w:b/>
        </w:rPr>
        <w:t>Адрес организации:</w:t>
      </w:r>
      <w:r w:rsidR="00BC771B">
        <w:t xml:space="preserve"> </w:t>
      </w:r>
      <w:r w:rsidR="00C423D6">
        <w:t xml:space="preserve">119526, Россия, </w:t>
      </w:r>
      <w:r w:rsidR="0039541B" w:rsidRPr="0039541B">
        <w:t>г. Москва, пр-т Вернадского, д. 101, корп. 3</w:t>
      </w:r>
    </w:p>
    <w:p w:rsidR="007D4882" w:rsidRDefault="007D4882" w:rsidP="005C0DE2">
      <w:pPr>
        <w:pStyle w:val="ConsNonformat"/>
        <w:widowControl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0565B9">
        <w:rPr>
          <w:rFonts w:ascii="Times New Roman" w:hAnsi="Times New Roman" w:cs="Times New Roman"/>
          <w:b/>
          <w:sz w:val="24"/>
          <w:szCs w:val="24"/>
        </w:rPr>
        <w:t>Телефон</w:t>
      </w:r>
      <w:r w:rsidR="00BC771B">
        <w:rPr>
          <w:rFonts w:ascii="Times New Roman" w:hAnsi="Times New Roman" w:cs="Times New Roman"/>
          <w:sz w:val="24"/>
          <w:szCs w:val="24"/>
        </w:rPr>
        <w:t xml:space="preserve">: </w:t>
      </w:r>
      <w:r w:rsidR="0039541B">
        <w:rPr>
          <w:rFonts w:ascii="Times New Roman" w:hAnsi="Times New Roman" w:cs="Times New Roman"/>
          <w:sz w:val="24"/>
          <w:szCs w:val="24"/>
        </w:rPr>
        <w:t>+7(</w:t>
      </w:r>
      <w:r w:rsidR="000D7964">
        <w:rPr>
          <w:rFonts w:ascii="Times New Roman" w:hAnsi="Times New Roman" w:cs="Times New Roman"/>
          <w:sz w:val="24"/>
          <w:szCs w:val="24"/>
        </w:rPr>
        <w:t>495) 428-47-83 (доб. 40-1</w:t>
      </w:r>
      <w:r w:rsidR="00123979" w:rsidRPr="00761A9C">
        <w:rPr>
          <w:rFonts w:ascii="Times New Roman" w:hAnsi="Times New Roman" w:cs="Times New Roman"/>
          <w:sz w:val="24"/>
          <w:szCs w:val="24"/>
        </w:rPr>
        <w:t>0</w:t>
      </w:r>
      <w:r w:rsidR="000D7964">
        <w:rPr>
          <w:rFonts w:ascii="Times New Roman" w:hAnsi="Times New Roman" w:cs="Times New Roman"/>
          <w:sz w:val="24"/>
          <w:szCs w:val="24"/>
        </w:rPr>
        <w:t>)</w:t>
      </w:r>
      <w:r w:rsidR="00AB794F">
        <w:rPr>
          <w:rFonts w:ascii="Times New Roman" w:hAnsi="Times New Roman" w:cs="Times New Roman"/>
          <w:sz w:val="24"/>
          <w:szCs w:val="24"/>
        </w:rPr>
        <w:t xml:space="preserve">, (доб. </w:t>
      </w:r>
      <w:r w:rsidR="00420581">
        <w:rPr>
          <w:rFonts w:ascii="Times New Roman" w:hAnsi="Times New Roman" w:cs="Times New Roman"/>
          <w:sz w:val="24"/>
          <w:szCs w:val="24"/>
        </w:rPr>
        <w:t>40-11</w:t>
      </w:r>
      <w:r w:rsidR="00AB794F">
        <w:rPr>
          <w:rFonts w:ascii="Times New Roman" w:hAnsi="Times New Roman" w:cs="Times New Roman"/>
          <w:sz w:val="24"/>
          <w:szCs w:val="24"/>
        </w:rPr>
        <w:t>)</w:t>
      </w:r>
    </w:p>
    <w:p w:rsidR="007D4882" w:rsidRPr="002D6B31" w:rsidRDefault="007D4882" w:rsidP="005C0DE2">
      <w:pPr>
        <w:ind w:left="-360"/>
        <w:jc w:val="both"/>
      </w:pPr>
      <w:r w:rsidRPr="000565B9">
        <w:rPr>
          <w:b/>
        </w:rPr>
        <w:t>Контактн</w:t>
      </w:r>
      <w:r w:rsidR="00AB794F">
        <w:rPr>
          <w:b/>
        </w:rPr>
        <w:t>ые</w:t>
      </w:r>
      <w:r w:rsidRPr="000565B9">
        <w:rPr>
          <w:b/>
        </w:rPr>
        <w:t xml:space="preserve"> лиц</w:t>
      </w:r>
      <w:r w:rsidR="00AB794F">
        <w:rPr>
          <w:b/>
        </w:rPr>
        <w:t>а</w:t>
      </w:r>
      <w:r w:rsidR="000565B9">
        <w:rPr>
          <w:b/>
        </w:rPr>
        <w:t>:</w:t>
      </w:r>
      <w:r w:rsidR="00BC771B">
        <w:t xml:space="preserve"> </w:t>
      </w:r>
      <w:r w:rsidR="00860776">
        <w:t>Галушко Сергей Александрович</w:t>
      </w:r>
      <w:r w:rsidR="00AB794F">
        <w:t xml:space="preserve">, </w:t>
      </w:r>
      <w:r w:rsidR="00420581">
        <w:t>Ковель Анна Викторовна.</w:t>
      </w:r>
    </w:p>
    <w:p w:rsidR="00A5260E" w:rsidRDefault="00A5260E" w:rsidP="005C0DE2">
      <w:pPr>
        <w:ind w:left="-360"/>
        <w:jc w:val="both"/>
        <w:rPr>
          <w:b/>
          <w:bCs/>
          <w:u w:val="single"/>
        </w:rPr>
      </w:pPr>
    </w:p>
    <w:p w:rsidR="007D4882" w:rsidRDefault="007D4882" w:rsidP="005C0DE2">
      <w:pPr>
        <w:ind w:left="-360"/>
        <w:jc w:val="both"/>
        <w:rPr>
          <w:b/>
          <w:bCs/>
          <w:u w:val="single"/>
        </w:rPr>
      </w:pPr>
      <w:r>
        <w:rPr>
          <w:b/>
          <w:bCs/>
          <w:u w:val="single"/>
        </w:rPr>
        <w:t>Дополнительная информация</w:t>
      </w:r>
    </w:p>
    <w:p w:rsidR="00A51D3B" w:rsidRDefault="00A51D3B" w:rsidP="00A51D3B">
      <w:pPr>
        <w:pStyle w:val="3"/>
        <w:numPr>
          <w:ilvl w:val="0"/>
          <w:numId w:val="0"/>
        </w:numPr>
        <w:tabs>
          <w:tab w:val="left" w:pos="1701"/>
        </w:tabs>
        <w:ind w:left="-284"/>
        <w:jc w:val="both"/>
      </w:pPr>
      <w:r>
        <w:lastRenderedPageBreak/>
        <w:t xml:space="preserve">     </w:t>
      </w:r>
      <w:r w:rsidR="000565B9" w:rsidRPr="00A51D3B">
        <w:t xml:space="preserve">Организатор </w:t>
      </w:r>
      <w:r w:rsidR="003C6AEA">
        <w:t>вправе</w:t>
      </w:r>
      <w:r w:rsidR="000565B9" w:rsidRPr="00A51D3B">
        <w:t xml:space="preserve"> </w:t>
      </w:r>
      <w:r w:rsidRPr="00A51D3B">
        <w:t xml:space="preserve">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итогов, </w:t>
      </w:r>
      <w:r w:rsidRPr="00AB794F">
        <w:rPr>
          <w:bCs/>
        </w:rPr>
        <w:t xml:space="preserve">не неся никакой ответственности перед Участниками </w:t>
      </w:r>
      <w:r w:rsidR="00C024E0">
        <w:t>запроса предложений</w:t>
      </w:r>
      <w:r w:rsidRPr="00AB794F">
        <w:rPr>
          <w:bCs/>
        </w:rPr>
        <w:t xml:space="preserve"> или третьими лицами</w:t>
      </w:r>
      <w:r w:rsidR="00AB794F" w:rsidRPr="00AB794F">
        <w:rPr>
          <w:bCs/>
        </w:rPr>
        <w:t xml:space="preserve">. </w:t>
      </w:r>
      <w:r w:rsidRPr="00AB794F">
        <w:t>Организатор информирует</w:t>
      </w:r>
      <w:r w:rsidRPr="00A51D3B">
        <w:t xml:space="preserve"> об отсутствии обязанности Заказчика заключать договор</w:t>
      </w:r>
      <w:r>
        <w:t xml:space="preserve"> по результатам з</w:t>
      </w:r>
      <w:r w:rsidRPr="00A51D3B">
        <w:t>апроса предложений.</w:t>
      </w:r>
    </w:p>
    <w:p w:rsidR="003C6AEA" w:rsidRDefault="00761A9C" w:rsidP="003C6AEA">
      <w:pPr>
        <w:pStyle w:val="3"/>
        <w:numPr>
          <w:ilvl w:val="0"/>
          <w:numId w:val="0"/>
        </w:numPr>
        <w:tabs>
          <w:tab w:val="left" w:pos="1701"/>
        </w:tabs>
        <w:ind w:left="-284"/>
        <w:jc w:val="both"/>
      </w:pPr>
      <w:r w:rsidRPr="003C6AEA">
        <w:t xml:space="preserve">     </w:t>
      </w:r>
      <w:r w:rsidR="003C6AEA" w:rsidRPr="003C6AEA">
        <w:t>Данная процедура</w:t>
      </w:r>
      <w:r>
        <w:t xml:space="preserve"> </w:t>
      </w:r>
      <w:r w:rsidRPr="00761A9C">
        <w:t>Запрос</w:t>
      </w:r>
      <w:r w:rsidR="003C6AEA">
        <w:t>а</w:t>
      </w:r>
      <w:r w:rsidRPr="00761A9C">
        <w:t xml:space="preserve"> предложений не является торгами (конкурсом, аукционом) или публичным конкурсом в </w:t>
      </w:r>
      <w:r w:rsidRPr="003C6AEA">
        <w:rPr>
          <w:color w:val="000000" w:themeColor="text1"/>
        </w:rPr>
        <w:t>соответствии</w:t>
      </w:r>
      <w:r w:rsidRPr="00761A9C">
        <w:t xml:space="preserve"> со статьями 447 </w:t>
      </w:r>
      <w:r w:rsidRPr="00761A9C">
        <w:noBreakHyphen/>
        <w:t> 449 части первой и статьями 1057 </w:t>
      </w:r>
      <w:r w:rsidRPr="00761A9C">
        <w:noBreakHyphen/>
        <w:t> 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BF4B8A" w:rsidRDefault="003C6AEA" w:rsidP="00AB794F">
      <w:pPr>
        <w:pStyle w:val="3"/>
        <w:numPr>
          <w:ilvl w:val="0"/>
          <w:numId w:val="0"/>
        </w:numPr>
        <w:tabs>
          <w:tab w:val="left" w:pos="0"/>
        </w:tabs>
        <w:ind w:left="-284"/>
        <w:jc w:val="both"/>
      </w:pPr>
      <w:r>
        <w:rPr>
          <w:color w:val="FF0000"/>
        </w:rPr>
        <w:tab/>
      </w:r>
      <w:r w:rsidR="00BF4B8A">
        <w:t xml:space="preserve"> </w:t>
      </w:r>
      <w:r w:rsidR="000565B9">
        <w:t xml:space="preserve">Срок заключения Договора: в течение </w:t>
      </w:r>
      <w:r w:rsidR="000D2577" w:rsidRPr="00AB794F">
        <w:t>20</w:t>
      </w:r>
      <w:r w:rsidR="009F556A" w:rsidRPr="009F556A">
        <w:t xml:space="preserve"> </w:t>
      </w:r>
      <w:r w:rsidR="000565B9">
        <w:t xml:space="preserve">календарных дней со дня уведомления Участника </w:t>
      </w:r>
      <w:r w:rsidR="00A51D3B">
        <w:t>з</w:t>
      </w:r>
      <w:r w:rsidR="00A51D3B" w:rsidRPr="00A51D3B">
        <w:t>апроса предложений</w:t>
      </w:r>
      <w:r w:rsidR="000565B9">
        <w:t xml:space="preserve"> о признании его Победителем.</w:t>
      </w:r>
    </w:p>
    <w:p w:rsidR="00BF4B8A" w:rsidRPr="00BF4B8A" w:rsidRDefault="00BF4B8A" w:rsidP="00BF4B8A">
      <w:pPr>
        <w:pStyle w:val="a5"/>
        <w:tabs>
          <w:tab w:val="left" w:pos="-360"/>
          <w:tab w:val="left" w:pos="0"/>
        </w:tabs>
        <w:ind w:left="-360" w:firstLine="0"/>
        <w:rPr>
          <w:sz w:val="24"/>
        </w:rPr>
      </w:pPr>
      <w:r>
        <w:rPr>
          <w:sz w:val="24"/>
        </w:rPr>
        <w:tab/>
        <w:t xml:space="preserve"> </w:t>
      </w:r>
      <w:r w:rsidRPr="00BF4B8A">
        <w:rPr>
          <w:sz w:val="24"/>
        </w:rPr>
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BF4B8A" w:rsidRDefault="00BF4B8A" w:rsidP="000565B9">
      <w:pPr>
        <w:pStyle w:val="a5"/>
        <w:tabs>
          <w:tab w:val="left" w:pos="-360"/>
          <w:tab w:val="left" w:pos="2160"/>
        </w:tabs>
        <w:ind w:left="-360" w:firstLine="0"/>
        <w:rPr>
          <w:sz w:val="24"/>
        </w:rPr>
      </w:pPr>
    </w:p>
    <w:p w:rsidR="0037505B" w:rsidRDefault="0037505B" w:rsidP="0037505B">
      <w:pPr>
        <w:jc w:val="both"/>
      </w:pPr>
    </w:p>
    <w:p w:rsidR="0037505B" w:rsidRPr="00F71CE2" w:rsidRDefault="0037505B" w:rsidP="00CC4C73">
      <w:pPr>
        <w:ind w:left="-360"/>
        <w:jc w:val="both"/>
      </w:pPr>
      <w:r w:rsidRPr="00536004">
        <w:rPr>
          <w:b/>
        </w:rPr>
        <w:t>Приложение:</w:t>
      </w:r>
      <w:r w:rsidR="000243F6">
        <w:t xml:space="preserve">    </w:t>
      </w:r>
      <w:r w:rsidRPr="00F71CE2">
        <w:t xml:space="preserve">1. </w:t>
      </w:r>
      <w:r w:rsidR="00CC4C73">
        <w:t>Уведомление</w:t>
      </w:r>
      <w:r w:rsidR="00F71CE2">
        <w:t xml:space="preserve"> для участия в открытом </w:t>
      </w:r>
      <w:r w:rsidR="000B0062">
        <w:t>з</w:t>
      </w:r>
      <w:r w:rsidR="000B0062" w:rsidRPr="00A51D3B">
        <w:t>апрос</w:t>
      </w:r>
      <w:r w:rsidR="000B0062">
        <w:t>е</w:t>
      </w:r>
      <w:r w:rsidR="000B0062" w:rsidRPr="00A51D3B">
        <w:t xml:space="preserve"> предложений</w:t>
      </w:r>
      <w:r w:rsidR="00CC4C73">
        <w:t xml:space="preserve"> (анкета)</w:t>
      </w:r>
      <w:r w:rsidR="00F71CE2">
        <w:t>;</w:t>
      </w:r>
    </w:p>
    <w:p w:rsidR="00F71CE2" w:rsidRDefault="00F71CE2" w:rsidP="0037505B">
      <w:pPr>
        <w:ind w:left="1260"/>
        <w:jc w:val="both"/>
      </w:pPr>
      <w:r>
        <w:t xml:space="preserve"> </w:t>
      </w:r>
      <w:r w:rsidR="00CC4C73">
        <w:t>2</w:t>
      </w:r>
      <w:r w:rsidRPr="00F71CE2">
        <w:t>.</w:t>
      </w:r>
      <w:r>
        <w:t xml:space="preserve"> </w:t>
      </w:r>
      <w:r w:rsidR="0016797D">
        <w:t>Д</w:t>
      </w:r>
      <w:r w:rsidRPr="00F71CE2">
        <w:t>окументация</w:t>
      </w:r>
      <w:r w:rsidR="0016797D">
        <w:t xml:space="preserve"> по запросу предложений.</w:t>
      </w:r>
    </w:p>
    <w:p w:rsidR="00FC570B" w:rsidRDefault="00FC570B" w:rsidP="000565B9">
      <w:pPr>
        <w:pStyle w:val="a5"/>
        <w:tabs>
          <w:tab w:val="left" w:pos="-360"/>
          <w:tab w:val="left" w:pos="2160"/>
        </w:tabs>
        <w:ind w:left="-360" w:firstLine="0"/>
        <w:rPr>
          <w:sz w:val="24"/>
        </w:rPr>
      </w:pPr>
    </w:p>
    <w:p w:rsidR="003B7B63" w:rsidRDefault="009F556A" w:rsidP="003B7B63">
      <w:pPr>
        <w:pStyle w:val="a5"/>
        <w:tabs>
          <w:tab w:val="left" w:pos="-360"/>
          <w:tab w:val="left" w:pos="2160"/>
        </w:tabs>
        <w:ind w:left="-360" w:firstLine="0"/>
        <w:rPr>
          <w:sz w:val="24"/>
        </w:rPr>
      </w:pPr>
      <w:r w:rsidRPr="003B7B63">
        <w:rPr>
          <w:b/>
          <w:sz w:val="24"/>
          <w:szCs w:val="20"/>
        </w:rPr>
        <w:t>Требования к участникам:</w:t>
      </w:r>
      <w:r>
        <w:rPr>
          <w:sz w:val="24"/>
        </w:rPr>
        <w:t xml:space="preserve"> </w:t>
      </w:r>
    </w:p>
    <w:p w:rsidR="003B7B63" w:rsidRPr="003B7B63" w:rsidRDefault="003B7B63" w:rsidP="003B7B63">
      <w:pPr>
        <w:pStyle w:val="a5"/>
        <w:numPr>
          <w:ilvl w:val="0"/>
          <w:numId w:val="2"/>
        </w:numPr>
        <w:tabs>
          <w:tab w:val="left" w:pos="-360"/>
          <w:tab w:val="left" w:pos="2160"/>
        </w:tabs>
        <w:rPr>
          <w:sz w:val="24"/>
        </w:rPr>
      </w:pPr>
      <w:r w:rsidRPr="003B7B63">
        <w:rPr>
          <w:sz w:val="24"/>
        </w:rPr>
        <w:t>Участник должен обладать всеми необходимыми для выполнения Договора</w:t>
      </w:r>
      <w:r w:rsidR="001C6E69">
        <w:rPr>
          <w:sz w:val="24"/>
        </w:rPr>
        <w:t xml:space="preserve"> по предмету открытого </w:t>
      </w:r>
      <w:r w:rsidR="001C6E69" w:rsidRPr="00BF4B8A">
        <w:rPr>
          <w:sz w:val="24"/>
        </w:rPr>
        <w:t>запроса предложений</w:t>
      </w:r>
      <w:r w:rsidRPr="003B7B63">
        <w:rPr>
          <w:sz w:val="24"/>
        </w:rPr>
        <w:t xml:space="preserve"> видами ресурсов, компетентностью, опытом, профессиональными знаниями и достаточным количеством собственных кадров, обладающих соответствующей</w:t>
      </w:r>
      <w:r w:rsidR="00AB794F">
        <w:rPr>
          <w:sz w:val="24"/>
        </w:rPr>
        <w:t xml:space="preserve"> квалификацией</w:t>
      </w:r>
      <w:r w:rsidR="00420581">
        <w:rPr>
          <w:sz w:val="24"/>
        </w:rPr>
        <w:t>;</w:t>
      </w:r>
    </w:p>
    <w:p w:rsidR="003B7B63" w:rsidRPr="003B7B63" w:rsidRDefault="003B7B63" w:rsidP="003B7B63">
      <w:pPr>
        <w:pStyle w:val="a5"/>
        <w:numPr>
          <w:ilvl w:val="0"/>
          <w:numId w:val="2"/>
        </w:numPr>
        <w:tabs>
          <w:tab w:val="left" w:pos="-360"/>
          <w:tab w:val="left" w:pos="2160"/>
        </w:tabs>
        <w:rPr>
          <w:sz w:val="24"/>
        </w:rPr>
      </w:pPr>
      <w:r w:rsidRPr="003B7B63">
        <w:rPr>
          <w:sz w:val="24"/>
        </w:rPr>
        <w:t xml:space="preserve">Участник должен исполнять в полном объеме обязательства по уплате налогов в бюджеты всех уровней и обязательных платежей в государственные внебюджетные фонды </w:t>
      </w:r>
      <w:r w:rsidR="00123979" w:rsidRPr="00123979">
        <w:rPr>
          <w:sz w:val="24"/>
        </w:rPr>
        <w:t xml:space="preserve">2010 </w:t>
      </w:r>
      <w:r w:rsidRPr="003B7B63">
        <w:rPr>
          <w:sz w:val="24"/>
        </w:rPr>
        <w:t>г;</w:t>
      </w:r>
    </w:p>
    <w:p w:rsidR="003B7B63" w:rsidRPr="003B7B63" w:rsidRDefault="003B7B63" w:rsidP="003B7B63">
      <w:pPr>
        <w:pStyle w:val="a5"/>
        <w:numPr>
          <w:ilvl w:val="0"/>
          <w:numId w:val="2"/>
        </w:numPr>
        <w:tabs>
          <w:tab w:val="left" w:pos="-360"/>
          <w:tab w:val="left" w:pos="2160"/>
        </w:tabs>
        <w:rPr>
          <w:sz w:val="24"/>
        </w:rPr>
      </w:pPr>
      <w:r w:rsidRPr="003B7B63">
        <w:rPr>
          <w:sz w:val="24"/>
        </w:rPr>
        <w:t>Участник должен быть платежеспособным, не находиться в процессе ликвидации или реорганизации, не быть признанным банкротом;</w:t>
      </w:r>
    </w:p>
    <w:p w:rsidR="003B7B63" w:rsidRDefault="003B7B63" w:rsidP="003B7B63">
      <w:pPr>
        <w:pStyle w:val="a5"/>
        <w:numPr>
          <w:ilvl w:val="0"/>
          <w:numId w:val="2"/>
        </w:numPr>
        <w:tabs>
          <w:tab w:val="left" w:pos="-360"/>
          <w:tab w:val="left" w:pos="2160"/>
        </w:tabs>
        <w:rPr>
          <w:sz w:val="24"/>
        </w:rPr>
      </w:pPr>
      <w:r w:rsidRPr="003B7B63">
        <w:rPr>
          <w:sz w:val="24"/>
        </w:rPr>
        <w:t xml:space="preserve">Имущество Участника </w:t>
      </w:r>
      <w:r w:rsidR="00C024E0">
        <w:rPr>
          <w:sz w:val="24"/>
        </w:rPr>
        <w:t>запроса предложений</w:t>
      </w:r>
      <w:r w:rsidRPr="003B7B63">
        <w:rPr>
          <w:sz w:val="24"/>
        </w:rPr>
        <w:t xml:space="preserve"> не должно находиться под арестом.</w:t>
      </w:r>
    </w:p>
    <w:p w:rsidR="00AB724B" w:rsidRDefault="00AB724B" w:rsidP="003B7B63">
      <w:pPr>
        <w:pStyle w:val="a5"/>
        <w:tabs>
          <w:tab w:val="left" w:pos="-360"/>
          <w:tab w:val="left" w:pos="2160"/>
        </w:tabs>
        <w:ind w:left="-360" w:firstLine="0"/>
        <w:rPr>
          <w:sz w:val="24"/>
        </w:rPr>
      </w:pPr>
    </w:p>
    <w:p w:rsidR="00AB724B" w:rsidRPr="004F1099" w:rsidRDefault="00AB724B" w:rsidP="003B7B63">
      <w:pPr>
        <w:pStyle w:val="a5"/>
        <w:tabs>
          <w:tab w:val="left" w:pos="-360"/>
          <w:tab w:val="left" w:pos="2160"/>
        </w:tabs>
        <w:ind w:left="-360" w:firstLine="0"/>
        <w:rPr>
          <w:sz w:val="24"/>
        </w:rPr>
      </w:pPr>
    </w:p>
    <w:sectPr w:rsidR="00AB724B" w:rsidRPr="004F1099" w:rsidSect="0039541B">
      <w:pgSz w:w="11906" w:h="16838"/>
      <w:pgMar w:top="1021" w:right="851" w:bottom="90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CE0" w:rsidRDefault="00C86CE0">
      <w:r>
        <w:separator/>
      </w:r>
    </w:p>
  </w:endnote>
  <w:endnote w:type="continuationSeparator" w:id="1">
    <w:p w:rsidR="00C86CE0" w:rsidRDefault="00C86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CE0" w:rsidRDefault="00C86CE0">
      <w:r>
        <w:separator/>
      </w:r>
    </w:p>
  </w:footnote>
  <w:footnote w:type="continuationSeparator" w:id="1">
    <w:p w:rsidR="00C86CE0" w:rsidRDefault="00C86C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94CCD0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474832"/>
    <w:multiLevelType w:val="multilevel"/>
    <w:tmpl w:val="E2403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697D49"/>
    <w:multiLevelType w:val="hybridMultilevel"/>
    <w:tmpl w:val="3CD6354E"/>
    <w:lvl w:ilvl="0" w:tplc="054817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C9C17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6A18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B2E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1439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12A3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781D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A805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9C8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6C997BDC"/>
    <w:multiLevelType w:val="hybridMultilevel"/>
    <w:tmpl w:val="14569FF8"/>
    <w:lvl w:ilvl="0" w:tplc="57CEDA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882"/>
    <w:rsid w:val="00024065"/>
    <w:rsid w:val="000243F6"/>
    <w:rsid w:val="00026355"/>
    <w:rsid w:val="00034882"/>
    <w:rsid w:val="00045E21"/>
    <w:rsid w:val="000565B9"/>
    <w:rsid w:val="00062CAC"/>
    <w:rsid w:val="00065926"/>
    <w:rsid w:val="0009137A"/>
    <w:rsid w:val="00091B8D"/>
    <w:rsid w:val="000B0062"/>
    <w:rsid w:val="000B516C"/>
    <w:rsid w:val="000C5176"/>
    <w:rsid w:val="000D2577"/>
    <w:rsid w:val="000D51E1"/>
    <w:rsid w:val="000D7964"/>
    <w:rsid w:val="000E37B2"/>
    <w:rsid w:val="000F75B2"/>
    <w:rsid w:val="00102ADE"/>
    <w:rsid w:val="00113BEE"/>
    <w:rsid w:val="00123979"/>
    <w:rsid w:val="00134536"/>
    <w:rsid w:val="0014260D"/>
    <w:rsid w:val="0016797D"/>
    <w:rsid w:val="001C6E69"/>
    <w:rsid w:val="002005EE"/>
    <w:rsid w:val="002174D7"/>
    <w:rsid w:val="00220B22"/>
    <w:rsid w:val="0024020E"/>
    <w:rsid w:val="00260948"/>
    <w:rsid w:val="00264E7A"/>
    <w:rsid w:val="002A1DC6"/>
    <w:rsid w:val="002B3E6A"/>
    <w:rsid w:val="002B4949"/>
    <w:rsid w:val="002E2441"/>
    <w:rsid w:val="002F2D6C"/>
    <w:rsid w:val="003256E1"/>
    <w:rsid w:val="0033576D"/>
    <w:rsid w:val="00353249"/>
    <w:rsid w:val="00354D03"/>
    <w:rsid w:val="00373084"/>
    <w:rsid w:val="0037505B"/>
    <w:rsid w:val="00382028"/>
    <w:rsid w:val="0039541B"/>
    <w:rsid w:val="003A06BE"/>
    <w:rsid w:val="003A1485"/>
    <w:rsid w:val="003A31F9"/>
    <w:rsid w:val="003B7B63"/>
    <w:rsid w:val="003C6AEA"/>
    <w:rsid w:val="004024F5"/>
    <w:rsid w:val="00412153"/>
    <w:rsid w:val="0042018B"/>
    <w:rsid w:val="00420581"/>
    <w:rsid w:val="00460E29"/>
    <w:rsid w:val="00465D10"/>
    <w:rsid w:val="00473080"/>
    <w:rsid w:val="004866A5"/>
    <w:rsid w:val="00495B65"/>
    <w:rsid w:val="004D323D"/>
    <w:rsid w:val="004E6D08"/>
    <w:rsid w:val="004F1099"/>
    <w:rsid w:val="004F4A46"/>
    <w:rsid w:val="005122C9"/>
    <w:rsid w:val="00536004"/>
    <w:rsid w:val="00551567"/>
    <w:rsid w:val="00563A51"/>
    <w:rsid w:val="0056444B"/>
    <w:rsid w:val="005646E6"/>
    <w:rsid w:val="00596C92"/>
    <w:rsid w:val="005C0DE2"/>
    <w:rsid w:val="005C7F43"/>
    <w:rsid w:val="005E7FA9"/>
    <w:rsid w:val="00641AD6"/>
    <w:rsid w:val="0068479D"/>
    <w:rsid w:val="0068776D"/>
    <w:rsid w:val="00693DE1"/>
    <w:rsid w:val="006B0593"/>
    <w:rsid w:val="006D012F"/>
    <w:rsid w:val="006E3AAD"/>
    <w:rsid w:val="00761568"/>
    <w:rsid w:val="00761A9C"/>
    <w:rsid w:val="00781194"/>
    <w:rsid w:val="0078310C"/>
    <w:rsid w:val="007853FD"/>
    <w:rsid w:val="007A69BB"/>
    <w:rsid w:val="007C0D76"/>
    <w:rsid w:val="007C130F"/>
    <w:rsid w:val="007D4882"/>
    <w:rsid w:val="007F7646"/>
    <w:rsid w:val="0083746E"/>
    <w:rsid w:val="00860717"/>
    <w:rsid w:val="00860776"/>
    <w:rsid w:val="00873BC7"/>
    <w:rsid w:val="00892277"/>
    <w:rsid w:val="008B352B"/>
    <w:rsid w:val="008C5432"/>
    <w:rsid w:val="008F451F"/>
    <w:rsid w:val="008F4E8E"/>
    <w:rsid w:val="00917152"/>
    <w:rsid w:val="00927F27"/>
    <w:rsid w:val="00930A0D"/>
    <w:rsid w:val="00935404"/>
    <w:rsid w:val="009429B3"/>
    <w:rsid w:val="00947500"/>
    <w:rsid w:val="009506D8"/>
    <w:rsid w:val="00972544"/>
    <w:rsid w:val="009942F2"/>
    <w:rsid w:val="009C6B9E"/>
    <w:rsid w:val="009E52B5"/>
    <w:rsid w:val="009F556A"/>
    <w:rsid w:val="00A02832"/>
    <w:rsid w:val="00A51D3B"/>
    <w:rsid w:val="00A5260E"/>
    <w:rsid w:val="00A64539"/>
    <w:rsid w:val="00A75908"/>
    <w:rsid w:val="00AB134D"/>
    <w:rsid w:val="00AB724B"/>
    <w:rsid w:val="00AB794F"/>
    <w:rsid w:val="00AC1CE4"/>
    <w:rsid w:val="00AE1D61"/>
    <w:rsid w:val="00B23B3B"/>
    <w:rsid w:val="00B5364A"/>
    <w:rsid w:val="00B656D3"/>
    <w:rsid w:val="00BB1B89"/>
    <w:rsid w:val="00BC1B43"/>
    <w:rsid w:val="00BC771B"/>
    <w:rsid w:val="00BF10FA"/>
    <w:rsid w:val="00BF1B93"/>
    <w:rsid w:val="00BF4B8A"/>
    <w:rsid w:val="00C0035A"/>
    <w:rsid w:val="00C024E0"/>
    <w:rsid w:val="00C314B3"/>
    <w:rsid w:val="00C33010"/>
    <w:rsid w:val="00C35249"/>
    <w:rsid w:val="00C423B4"/>
    <w:rsid w:val="00C423D6"/>
    <w:rsid w:val="00C62B80"/>
    <w:rsid w:val="00C73BB6"/>
    <w:rsid w:val="00C86CE0"/>
    <w:rsid w:val="00C901A4"/>
    <w:rsid w:val="00CC03B7"/>
    <w:rsid w:val="00CC4C73"/>
    <w:rsid w:val="00CE6A73"/>
    <w:rsid w:val="00D01787"/>
    <w:rsid w:val="00D31AA0"/>
    <w:rsid w:val="00D31E6D"/>
    <w:rsid w:val="00D35B23"/>
    <w:rsid w:val="00D520BC"/>
    <w:rsid w:val="00D81BFE"/>
    <w:rsid w:val="00D8519C"/>
    <w:rsid w:val="00D961D0"/>
    <w:rsid w:val="00DA1073"/>
    <w:rsid w:val="00E218BB"/>
    <w:rsid w:val="00E276E4"/>
    <w:rsid w:val="00E85D6A"/>
    <w:rsid w:val="00E87850"/>
    <w:rsid w:val="00E92053"/>
    <w:rsid w:val="00E963AC"/>
    <w:rsid w:val="00EA7EA0"/>
    <w:rsid w:val="00EB532A"/>
    <w:rsid w:val="00EC34AF"/>
    <w:rsid w:val="00F00B61"/>
    <w:rsid w:val="00F26983"/>
    <w:rsid w:val="00F27AA8"/>
    <w:rsid w:val="00F343ED"/>
    <w:rsid w:val="00F360E4"/>
    <w:rsid w:val="00F46C72"/>
    <w:rsid w:val="00F71CE2"/>
    <w:rsid w:val="00F73A1D"/>
    <w:rsid w:val="00F84D62"/>
    <w:rsid w:val="00F85845"/>
    <w:rsid w:val="00FA4B8A"/>
    <w:rsid w:val="00FB223F"/>
    <w:rsid w:val="00FB2E96"/>
    <w:rsid w:val="00FB62DE"/>
    <w:rsid w:val="00FC2077"/>
    <w:rsid w:val="00FC570B"/>
    <w:rsid w:val="00FE036C"/>
    <w:rsid w:val="00FE6DC3"/>
    <w:rsid w:val="00FF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D4882"/>
    <w:rPr>
      <w:sz w:val="24"/>
      <w:szCs w:val="24"/>
    </w:rPr>
  </w:style>
  <w:style w:type="paragraph" w:styleId="1">
    <w:name w:val="heading 1"/>
    <w:aliases w:val="Заголовок 1_стандарта"/>
    <w:basedOn w:val="a0"/>
    <w:next w:val="a0"/>
    <w:link w:val="10"/>
    <w:qFormat/>
    <w:rsid w:val="00A51D3B"/>
    <w:pPr>
      <w:keepNext/>
      <w:widowControl w:val="0"/>
      <w:numPr>
        <w:numId w:val="4"/>
      </w:numPr>
      <w:shd w:val="clear" w:color="auto" w:fill="FFFFFF"/>
      <w:autoSpaceDE w:val="0"/>
      <w:autoSpaceDN w:val="0"/>
      <w:adjustRightInd w:val="0"/>
      <w:spacing w:before="744" w:line="370" w:lineRule="exact"/>
      <w:jc w:val="right"/>
      <w:outlineLvl w:val="0"/>
    </w:pPr>
    <w:rPr>
      <w:b/>
      <w:bCs/>
      <w:color w:val="000000"/>
      <w:spacing w:val="-3"/>
      <w:sz w:val="32"/>
      <w:szCs w:val="32"/>
    </w:rPr>
  </w:style>
  <w:style w:type="paragraph" w:styleId="2">
    <w:name w:val="heading 2"/>
    <w:basedOn w:val="a0"/>
    <w:next w:val="a0"/>
    <w:link w:val="21"/>
    <w:qFormat/>
    <w:rsid w:val="00A51D3B"/>
    <w:pPr>
      <w:keepNext/>
      <w:widowControl w:val="0"/>
      <w:numPr>
        <w:ilvl w:val="1"/>
        <w:numId w:val="4"/>
      </w:numPr>
      <w:autoSpaceDE w:val="0"/>
      <w:autoSpaceDN w:val="0"/>
      <w:adjustRightInd w:val="0"/>
      <w:outlineLvl w:val="1"/>
    </w:pPr>
    <w:rPr>
      <w:sz w:val="28"/>
      <w:szCs w:val="28"/>
    </w:rPr>
  </w:style>
  <w:style w:type="paragraph" w:styleId="5">
    <w:name w:val="heading 5"/>
    <w:basedOn w:val="a0"/>
    <w:next w:val="a0"/>
    <w:qFormat/>
    <w:rsid w:val="007D4882"/>
    <w:pPr>
      <w:keepNext/>
      <w:outlineLvl w:val="4"/>
    </w:pPr>
    <w:rPr>
      <w:b/>
      <w:bCs/>
      <w:sz w:val="28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7D48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Hyperlink"/>
    <w:basedOn w:val="a1"/>
    <w:rsid w:val="007D4882"/>
    <w:rPr>
      <w:color w:val="0000FF"/>
      <w:u w:val="single"/>
    </w:rPr>
  </w:style>
  <w:style w:type="paragraph" w:styleId="a5">
    <w:name w:val="Body Text Indent"/>
    <w:basedOn w:val="a0"/>
    <w:rsid w:val="007D4882"/>
    <w:pPr>
      <w:ind w:firstLine="709"/>
      <w:jc w:val="both"/>
    </w:pPr>
    <w:rPr>
      <w:sz w:val="28"/>
    </w:rPr>
  </w:style>
  <w:style w:type="paragraph" w:styleId="a6">
    <w:name w:val="Balloon Text"/>
    <w:basedOn w:val="a0"/>
    <w:semiHidden/>
    <w:rsid w:val="009F556A"/>
    <w:rPr>
      <w:rFonts w:ascii="Tahoma" w:hAnsi="Tahoma" w:cs="Tahoma"/>
      <w:sz w:val="16"/>
      <w:szCs w:val="16"/>
    </w:rPr>
  </w:style>
  <w:style w:type="paragraph" w:styleId="a7">
    <w:name w:val="header"/>
    <w:basedOn w:val="a0"/>
    <w:rsid w:val="00CE6A73"/>
    <w:pPr>
      <w:tabs>
        <w:tab w:val="center" w:pos="4677"/>
        <w:tab w:val="right" w:pos="9355"/>
      </w:tabs>
    </w:pPr>
  </w:style>
  <w:style w:type="paragraph" w:styleId="a8">
    <w:name w:val="footer"/>
    <w:basedOn w:val="a0"/>
    <w:rsid w:val="00CE6A73"/>
    <w:pPr>
      <w:tabs>
        <w:tab w:val="center" w:pos="4677"/>
        <w:tab w:val="right" w:pos="9355"/>
      </w:tabs>
    </w:pPr>
  </w:style>
  <w:style w:type="paragraph" w:styleId="22">
    <w:name w:val="Body Text 2"/>
    <w:basedOn w:val="a0"/>
    <w:rsid w:val="003B7B63"/>
    <w:pPr>
      <w:spacing w:after="120" w:line="480" w:lineRule="auto"/>
    </w:pPr>
  </w:style>
  <w:style w:type="paragraph" w:customStyle="1" w:styleId="paragraphjustify">
    <w:name w:val="paragraph_justify"/>
    <w:basedOn w:val="a0"/>
    <w:rsid w:val="00F00B61"/>
    <w:pPr>
      <w:spacing w:after="150"/>
      <w:jc w:val="both"/>
    </w:pPr>
  </w:style>
  <w:style w:type="character" w:customStyle="1" w:styleId="10">
    <w:name w:val="Заголовок 1 Знак"/>
    <w:aliases w:val="Заголовок 1_стандарта Знак"/>
    <w:basedOn w:val="a1"/>
    <w:link w:val="1"/>
    <w:rsid w:val="00A51D3B"/>
    <w:rPr>
      <w:b/>
      <w:bCs/>
      <w:color w:val="000000"/>
      <w:spacing w:val="-3"/>
      <w:sz w:val="32"/>
      <w:szCs w:val="32"/>
      <w:shd w:val="clear" w:color="auto" w:fill="FFFFFF"/>
    </w:rPr>
  </w:style>
  <w:style w:type="character" w:customStyle="1" w:styleId="21">
    <w:name w:val="Заголовок 2 Знак"/>
    <w:basedOn w:val="a1"/>
    <w:link w:val="2"/>
    <w:rsid w:val="00A51D3B"/>
    <w:rPr>
      <w:sz w:val="28"/>
      <w:szCs w:val="28"/>
    </w:rPr>
  </w:style>
  <w:style w:type="paragraph" w:styleId="20">
    <w:name w:val="List Continue 2"/>
    <w:basedOn w:val="a0"/>
    <w:rsid w:val="00A51D3B"/>
    <w:pPr>
      <w:numPr>
        <w:ilvl w:val="2"/>
        <w:numId w:val="4"/>
      </w:numPr>
      <w:spacing w:after="120"/>
    </w:pPr>
  </w:style>
  <w:style w:type="paragraph" w:styleId="3">
    <w:name w:val="List Continue 3"/>
    <w:basedOn w:val="a0"/>
    <w:rsid w:val="00A51D3B"/>
    <w:pPr>
      <w:numPr>
        <w:ilvl w:val="3"/>
        <w:numId w:val="4"/>
      </w:numPr>
      <w:spacing w:after="120"/>
    </w:pPr>
  </w:style>
  <w:style w:type="paragraph" w:styleId="a">
    <w:name w:val="List Number"/>
    <w:basedOn w:val="a0"/>
    <w:rsid w:val="003C6AEA"/>
    <w:pPr>
      <w:numPr>
        <w:numId w:val="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6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kovel@gazenergoco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Informgaz</Company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Ковель Анна Викторовна</dc:creator>
  <cp:lastModifiedBy>a.kovel</cp:lastModifiedBy>
  <cp:revision>3</cp:revision>
  <cp:lastPrinted>2011-05-16T05:54:00Z</cp:lastPrinted>
  <dcterms:created xsi:type="dcterms:W3CDTF">2011-10-11T11:31:00Z</dcterms:created>
  <dcterms:modified xsi:type="dcterms:W3CDTF">2011-10-11T13:23:00Z</dcterms:modified>
</cp:coreProperties>
</file>