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0BA43" w14:textId="083EDBBA" w:rsidR="00BA16F3" w:rsidRDefault="004462F4" w:rsidP="00107919">
      <w:pPr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  <w:lang w:val="en-US"/>
        </w:rPr>
        <w:t>V</w:t>
      </w:r>
      <w:r w:rsidR="004B209A">
        <w:rPr>
          <w:rFonts w:ascii="Garamond" w:hAnsi="Garamond" w:cs="Tahoma"/>
          <w:b/>
          <w:sz w:val="28"/>
          <w:szCs w:val="28"/>
          <w:lang w:val="en-US"/>
        </w:rPr>
        <w:t>I.9</w:t>
      </w:r>
      <w:r w:rsidRPr="004462F4">
        <w:rPr>
          <w:rFonts w:ascii="Garamond" w:hAnsi="Garamond" w:cs="Tahoma"/>
          <w:b/>
          <w:sz w:val="28"/>
          <w:szCs w:val="28"/>
        </w:rPr>
        <w:t>.</w:t>
      </w:r>
      <w:r w:rsidR="005C7A99">
        <w:rPr>
          <w:rFonts w:ascii="Garamond" w:hAnsi="Garamond" w:cs="Tahoma"/>
          <w:b/>
          <w:sz w:val="28"/>
          <w:szCs w:val="28"/>
        </w:rPr>
        <w:t xml:space="preserve"> </w:t>
      </w:r>
      <w:r w:rsidR="00BA16F3" w:rsidRPr="00901163">
        <w:rPr>
          <w:rFonts w:ascii="Garamond" w:hAnsi="Garamond" w:cs="Tahoma"/>
          <w:b/>
          <w:sz w:val="28"/>
          <w:szCs w:val="28"/>
        </w:rPr>
        <w:t xml:space="preserve">Изменения, </w:t>
      </w:r>
      <w:bookmarkStart w:id="0" w:name="_Hlk90566028"/>
      <w:r w:rsidR="00BA16F3" w:rsidRPr="00901163">
        <w:rPr>
          <w:rFonts w:ascii="Garamond" w:hAnsi="Garamond" w:cs="Tahoma"/>
          <w:b/>
          <w:sz w:val="28"/>
          <w:szCs w:val="28"/>
        </w:rPr>
        <w:t xml:space="preserve">связанные </w:t>
      </w:r>
      <w:bookmarkStart w:id="1" w:name="_Hlk81397336"/>
      <w:r w:rsidR="00BA16F3" w:rsidRPr="00901163">
        <w:rPr>
          <w:rFonts w:ascii="Garamond" w:hAnsi="Garamond" w:cs="Tahoma"/>
          <w:b/>
          <w:sz w:val="28"/>
          <w:szCs w:val="28"/>
        </w:rPr>
        <w:t>с</w:t>
      </w:r>
      <w:bookmarkEnd w:id="1"/>
      <w:r w:rsidR="00BA16F3" w:rsidRPr="00901163">
        <w:rPr>
          <w:rFonts w:ascii="Garamond" w:hAnsi="Garamond" w:cs="Tahoma"/>
          <w:b/>
          <w:sz w:val="28"/>
          <w:szCs w:val="28"/>
        </w:rPr>
        <w:t xml:space="preserve"> </w:t>
      </w:r>
      <w:bookmarkEnd w:id="0"/>
      <w:r w:rsidR="00BA16F3" w:rsidRPr="00901163">
        <w:rPr>
          <w:rFonts w:ascii="Garamond" w:hAnsi="Garamond" w:cs="Tahoma"/>
          <w:b/>
          <w:sz w:val="28"/>
          <w:szCs w:val="28"/>
        </w:rPr>
        <w:t xml:space="preserve">детализацией </w:t>
      </w:r>
      <w:r w:rsidR="004259DB" w:rsidRPr="00901163">
        <w:rPr>
          <w:rFonts w:ascii="Garamond" w:hAnsi="Garamond" w:cs="Tahoma"/>
          <w:b/>
          <w:sz w:val="28"/>
          <w:szCs w:val="28"/>
        </w:rPr>
        <w:t xml:space="preserve">требований </w:t>
      </w:r>
      <w:r w:rsidR="004D2E5C">
        <w:rPr>
          <w:rFonts w:ascii="Garamond" w:hAnsi="Garamond" w:cs="Tahoma"/>
          <w:b/>
          <w:sz w:val="28"/>
          <w:szCs w:val="28"/>
        </w:rPr>
        <w:t>к системе</w:t>
      </w:r>
      <w:r w:rsidR="004259DB" w:rsidRPr="00901163">
        <w:rPr>
          <w:rFonts w:ascii="Garamond" w:hAnsi="Garamond" w:cs="Tahoma"/>
          <w:b/>
          <w:sz w:val="28"/>
          <w:szCs w:val="28"/>
        </w:rPr>
        <w:t xml:space="preserve"> </w:t>
      </w:r>
      <w:r w:rsidR="004D2E5C" w:rsidRPr="00901163">
        <w:rPr>
          <w:rFonts w:ascii="Garamond" w:hAnsi="Garamond" w:cs="Tahoma"/>
          <w:b/>
          <w:sz w:val="28"/>
          <w:szCs w:val="28"/>
        </w:rPr>
        <w:t>обмен</w:t>
      </w:r>
      <w:r w:rsidR="004D2E5C">
        <w:rPr>
          <w:rFonts w:ascii="Garamond" w:hAnsi="Garamond" w:cs="Tahoma"/>
          <w:b/>
          <w:sz w:val="28"/>
          <w:szCs w:val="28"/>
        </w:rPr>
        <w:t xml:space="preserve">а </w:t>
      </w:r>
      <w:r w:rsidR="004D2E5C" w:rsidRPr="00901163">
        <w:rPr>
          <w:rFonts w:ascii="Garamond" w:hAnsi="Garamond" w:cs="Tahoma"/>
          <w:b/>
          <w:sz w:val="28"/>
          <w:szCs w:val="28"/>
        </w:rPr>
        <w:t xml:space="preserve">технологической информацией </w:t>
      </w:r>
      <w:r w:rsidR="00107919">
        <w:rPr>
          <w:rFonts w:ascii="Garamond" w:hAnsi="Garamond" w:cs="Tahoma"/>
          <w:b/>
          <w:sz w:val="28"/>
          <w:szCs w:val="28"/>
        </w:rPr>
        <w:t>с </w:t>
      </w:r>
      <w:r w:rsidR="004259DB" w:rsidRPr="00901163">
        <w:rPr>
          <w:rFonts w:ascii="Garamond" w:hAnsi="Garamond" w:cs="Tahoma"/>
          <w:b/>
          <w:sz w:val="28"/>
          <w:szCs w:val="28"/>
        </w:rPr>
        <w:t>автоматизированной системой Системного оператора</w:t>
      </w:r>
      <w:r w:rsidR="008737DC">
        <w:rPr>
          <w:rFonts w:ascii="Garamond" w:hAnsi="Garamond" w:cs="Tahoma"/>
          <w:b/>
          <w:sz w:val="28"/>
          <w:szCs w:val="28"/>
        </w:rPr>
        <w:t xml:space="preserve"> </w:t>
      </w:r>
      <w:r w:rsidR="004D2E5C">
        <w:rPr>
          <w:rFonts w:ascii="Garamond" w:hAnsi="Garamond" w:cs="Tahoma"/>
          <w:b/>
          <w:sz w:val="28"/>
          <w:szCs w:val="28"/>
        </w:rPr>
        <w:t>(</w:t>
      </w:r>
      <w:proofErr w:type="spellStart"/>
      <w:r w:rsidR="004D2E5C">
        <w:rPr>
          <w:rFonts w:ascii="Garamond" w:hAnsi="Garamond" w:cs="Tahoma"/>
          <w:b/>
          <w:sz w:val="28"/>
          <w:szCs w:val="28"/>
        </w:rPr>
        <w:t>СОТИАССО</w:t>
      </w:r>
      <w:proofErr w:type="spellEnd"/>
      <w:r w:rsidR="004D2E5C">
        <w:rPr>
          <w:rFonts w:ascii="Garamond" w:hAnsi="Garamond" w:cs="Tahoma"/>
          <w:b/>
          <w:sz w:val="28"/>
          <w:szCs w:val="28"/>
        </w:rPr>
        <w:t>)</w:t>
      </w:r>
    </w:p>
    <w:p w14:paraId="56318CDD" w14:textId="77777777" w:rsidR="00107919" w:rsidRDefault="00107919" w:rsidP="00107919">
      <w:pPr>
        <w:jc w:val="right"/>
        <w:rPr>
          <w:rFonts w:ascii="Garamond" w:hAnsi="Garamond" w:cs="Tahoma"/>
          <w:b/>
          <w:sz w:val="28"/>
          <w:szCs w:val="28"/>
        </w:rPr>
      </w:pPr>
    </w:p>
    <w:p w14:paraId="0FA2475F" w14:textId="159026EA" w:rsidR="004462F4" w:rsidRPr="004B209A" w:rsidRDefault="004462F4" w:rsidP="00107919">
      <w:pPr>
        <w:jc w:val="right"/>
        <w:rPr>
          <w:rFonts w:ascii="Garamond" w:hAnsi="Garamond" w:cs="Tahoma"/>
          <w:b/>
          <w:sz w:val="28"/>
          <w:szCs w:val="28"/>
          <w:lang w:val="en-US"/>
        </w:rPr>
      </w:pPr>
      <w:r>
        <w:rPr>
          <w:rFonts w:ascii="Garamond" w:hAnsi="Garamond" w:cs="Tahoma"/>
          <w:b/>
          <w:sz w:val="28"/>
          <w:szCs w:val="28"/>
        </w:rPr>
        <w:t xml:space="preserve">Приложение № </w:t>
      </w:r>
      <w:r w:rsidR="004B209A">
        <w:rPr>
          <w:rFonts w:ascii="Garamond" w:hAnsi="Garamond" w:cs="Tahoma"/>
          <w:b/>
          <w:sz w:val="28"/>
          <w:szCs w:val="28"/>
          <w:lang w:val="en-US"/>
        </w:rPr>
        <w:t>6.9</w:t>
      </w:r>
    </w:p>
    <w:p w14:paraId="6D863F41" w14:textId="77777777" w:rsidR="00D377DF" w:rsidRPr="00901163" w:rsidRDefault="00D377DF" w:rsidP="00107919">
      <w:pPr>
        <w:jc w:val="both"/>
        <w:rPr>
          <w:rFonts w:ascii="Garamond" w:hAnsi="Garamond" w:cs="Tahoma"/>
          <w:b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BA16F3" w:rsidRPr="00901163" w14:paraId="45250CAB" w14:textId="77777777" w:rsidTr="00107919">
        <w:trPr>
          <w:trHeight w:val="928"/>
        </w:trPr>
        <w:tc>
          <w:tcPr>
            <w:tcW w:w="14737" w:type="dxa"/>
          </w:tcPr>
          <w:p w14:paraId="5235932E" w14:textId="6CBDF96F" w:rsidR="00BA16F3" w:rsidRPr="00901163" w:rsidRDefault="00BA16F3" w:rsidP="00107919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901163">
              <w:rPr>
                <w:rFonts w:ascii="Garamond" w:hAnsi="Garamond"/>
                <w:b/>
                <w:szCs w:val="20"/>
              </w:rPr>
              <w:t>Инициатор:</w:t>
            </w:r>
            <w:r w:rsidR="004863E3" w:rsidRPr="00901163">
              <w:rPr>
                <w:rFonts w:ascii="Garamond" w:hAnsi="Garamond"/>
                <w:szCs w:val="20"/>
              </w:rPr>
              <w:t xml:space="preserve"> АО «СО ЕЭС»</w:t>
            </w:r>
            <w:r w:rsidR="00F31BDB">
              <w:rPr>
                <w:rFonts w:ascii="Garamond" w:hAnsi="Garamond"/>
                <w:szCs w:val="20"/>
              </w:rPr>
              <w:t>.</w:t>
            </w:r>
          </w:p>
          <w:p w14:paraId="6C5C1B35" w14:textId="5D013DDA" w:rsidR="00AE5B00" w:rsidRDefault="00BA16F3" w:rsidP="00107919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901163">
              <w:rPr>
                <w:rFonts w:ascii="Garamond" w:hAnsi="Garamond"/>
                <w:b/>
                <w:szCs w:val="20"/>
              </w:rPr>
              <w:t xml:space="preserve">Обоснование: </w:t>
            </w:r>
            <w:bookmarkStart w:id="2" w:name="_Hlk90566054"/>
            <w:r w:rsidRPr="00901163">
              <w:rPr>
                <w:rFonts w:ascii="Garamond" w:hAnsi="Garamond"/>
                <w:szCs w:val="20"/>
              </w:rPr>
              <w:t xml:space="preserve">детализация </w:t>
            </w:r>
            <w:bookmarkEnd w:id="2"/>
            <w:r w:rsidR="004D2E5C" w:rsidRPr="004D2E5C">
              <w:rPr>
                <w:rFonts w:ascii="Garamond" w:hAnsi="Garamond"/>
                <w:szCs w:val="20"/>
              </w:rPr>
              <w:t>требований к системе обмена технологической информацией с автоматизированной системой Системного оператора (</w:t>
            </w:r>
            <w:proofErr w:type="spellStart"/>
            <w:r w:rsidR="004D2E5C" w:rsidRPr="004D2E5C">
              <w:rPr>
                <w:rFonts w:ascii="Garamond" w:hAnsi="Garamond"/>
                <w:szCs w:val="20"/>
              </w:rPr>
              <w:t>СОТИАССО</w:t>
            </w:r>
            <w:proofErr w:type="spellEnd"/>
            <w:r w:rsidR="004D2E5C" w:rsidRPr="004D2E5C">
              <w:rPr>
                <w:rFonts w:ascii="Garamond" w:hAnsi="Garamond"/>
                <w:szCs w:val="20"/>
              </w:rPr>
              <w:t>)</w:t>
            </w:r>
            <w:r w:rsidR="00586133">
              <w:t xml:space="preserve"> </w:t>
            </w:r>
            <w:r w:rsidR="00AE5B00" w:rsidRPr="00AE5B00">
              <w:rPr>
                <w:rFonts w:ascii="Garamond" w:hAnsi="Garamond"/>
                <w:szCs w:val="20"/>
              </w:rPr>
              <w:t xml:space="preserve">в части возможности дополнительного применения участником оптового рынка протокола передачи телеинформации, соответствующего </w:t>
            </w:r>
            <w:proofErr w:type="spellStart"/>
            <w:r w:rsidR="00AE5B00" w:rsidRPr="00AE5B00">
              <w:rPr>
                <w:rFonts w:ascii="Garamond" w:hAnsi="Garamond"/>
                <w:szCs w:val="20"/>
              </w:rPr>
              <w:t>МЭК</w:t>
            </w:r>
            <w:proofErr w:type="spellEnd"/>
            <w:r w:rsidR="00AE5B00" w:rsidRPr="00AE5B00">
              <w:rPr>
                <w:rFonts w:ascii="Garamond" w:hAnsi="Garamond"/>
                <w:szCs w:val="20"/>
              </w:rPr>
              <w:t xml:space="preserve"> 60870-6 (</w:t>
            </w:r>
            <w:proofErr w:type="spellStart"/>
            <w:r w:rsidR="00AE5B00" w:rsidRPr="00AE5B00">
              <w:rPr>
                <w:rFonts w:ascii="Garamond" w:hAnsi="Garamond"/>
                <w:szCs w:val="20"/>
              </w:rPr>
              <w:t>ICCP</w:t>
            </w:r>
            <w:proofErr w:type="spellEnd"/>
            <w:r w:rsidR="00AE5B00" w:rsidRPr="00AE5B00">
              <w:rPr>
                <w:rFonts w:ascii="Garamond" w:hAnsi="Garamond"/>
                <w:szCs w:val="20"/>
              </w:rPr>
              <w:t xml:space="preserve">/TASE.2), что позволит использовать при информационном обмене </w:t>
            </w:r>
            <w:r w:rsidR="00AE5B00">
              <w:rPr>
                <w:rFonts w:ascii="Garamond" w:hAnsi="Garamond"/>
                <w:szCs w:val="20"/>
              </w:rPr>
              <w:t xml:space="preserve">с СО </w:t>
            </w:r>
            <w:r w:rsidR="00AE5B00" w:rsidRPr="00586133">
              <w:rPr>
                <w:rFonts w:ascii="Garamond" w:hAnsi="Garamond"/>
                <w:szCs w:val="20"/>
              </w:rPr>
              <w:t>общи</w:t>
            </w:r>
            <w:r w:rsidR="0070244A">
              <w:rPr>
                <w:rFonts w:ascii="Garamond" w:hAnsi="Garamond"/>
                <w:szCs w:val="20"/>
              </w:rPr>
              <w:t>е</w:t>
            </w:r>
            <w:r w:rsidR="00AE5B00">
              <w:rPr>
                <w:rFonts w:ascii="Garamond" w:hAnsi="Garamond"/>
                <w:szCs w:val="20"/>
              </w:rPr>
              <w:t xml:space="preserve"> </w:t>
            </w:r>
            <w:r w:rsidR="00AE5B00" w:rsidRPr="00586133">
              <w:rPr>
                <w:rFonts w:ascii="Garamond" w:hAnsi="Garamond"/>
                <w:szCs w:val="20"/>
              </w:rPr>
              <w:t>идентификатор</w:t>
            </w:r>
            <w:r w:rsidR="0070244A">
              <w:rPr>
                <w:rFonts w:ascii="Garamond" w:hAnsi="Garamond"/>
                <w:szCs w:val="20"/>
              </w:rPr>
              <w:t>ы</w:t>
            </w:r>
            <w:r w:rsidR="00AE5B00" w:rsidRPr="00586133">
              <w:rPr>
                <w:rFonts w:ascii="Garamond" w:hAnsi="Garamond"/>
                <w:szCs w:val="20"/>
              </w:rPr>
              <w:t xml:space="preserve"> единой информационной модели (</w:t>
            </w:r>
            <w:proofErr w:type="spellStart"/>
            <w:r w:rsidR="00AE5B00" w:rsidRPr="00586133">
              <w:rPr>
                <w:rFonts w:ascii="Garamond" w:hAnsi="Garamond"/>
                <w:szCs w:val="20"/>
              </w:rPr>
              <w:t>CIM</w:t>
            </w:r>
            <w:proofErr w:type="spellEnd"/>
            <w:r w:rsidR="00AE5B00" w:rsidRPr="00586133">
              <w:rPr>
                <w:rFonts w:ascii="Garamond" w:hAnsi="Garamond"/>
                <w:szCs w:val="20"/>
              </w:rPr>
              <w:t>).</w:t>
            </w:r>
            <w:r w:rsidR="00AE5B00">
              <w:rPr>
                <w:rFonts w:ascii="Garamond" w:hAnsi="Garamond"/>
                <w:szCs w:val="20"/>
              </w:rPr>
              <w:t xml:space="preserve"> </w:t>
            </w:r>
          </w:p>
          <w:p w14:paraId="248CB5BE" w14:textId="2F9C81D8" w:rsidR="00BA16F3" w:rsidRPr="00901163" w:rsidRDefault="00BA16F3" w:rsidP="00107919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901163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Pr="00901163">
              <w:rPr>
                <w:rFonts w:ascii="Garamond" w:hAnsi="Garamond"/>
                <w:szCs w:val="20"/>
              </w:rPr>
              <w:t xml:space="preserve"> </w:t>
            </w:r>
            <w:r w:rsidR="004462F4">
              <w:rPr>
                <w:rFonts w:ascii="Garamond" w:hAnsi="Garamond"/>
                <w:szCs w:val="20"/>
              </w:rPr>
              <w:t>1 марта 2023 года.</w:t>
            </w:r>
          </w:p>
        </w:tc>
      </w:tr>
    </w:tbl>
    <w:p w14:paraId="0817D26B" w14:textId="77777777" w:rsidR="00107919" w:rsidRDefault="00107919" w:rsidP="00107919">
      <w:pPr>
        <w:jc w:val="both"/>
        <w:rPr>
          <w:rFonts w:ascii="Garamond" w:hAnsi="Garamond" w:cs="Tahoma"/>
          <w:b/>
          <w:sz w:val="28"/>
          <w:szCs w:val="28"/>
        </w:rPr>
      </w:pPr>
    </w:p>
    <w:p w14:paraId="3963E35F" w14:textId="5C9CD803" w:rsidR="00BA16F3" w:rsidRPr="00107919" w:rsidRDefault="00BA16F3" w:rsidP="00107919">
      <w:pPr>
        <w:rPr>
          <w:rFonts w:ascii="Garamond" w:hAnsi="Garamond" w:cs="Tahoma"/>
          <w:b/>
          <w:sz w:val="26"/>
          <w:szCs w:val="26"/>
        </w:rPr>
      </w:pPr>
      <w:r w:rsidRPr="00107919">
        <w:rPr>
          <w:rFonts w:ascii="Garamond" w:hAnsi="Garamond" w:cs="Tahoma"/>
          <w:b/>
          <w:sz w:val="26"/>
          <w:szCs w:val="26"/>
        </w:rPr>
        <w:t xml:space="preserve">Предложения по изменениям и дополнениям в </w:t>
      </w:r>
      <w:r w:rsidR="00A940F1" w:rsidRPr="00107919">
        <w:rPr>
          <w:rFonts w:ascii="Garamond" w:hAnsi="Garamond" w:cs="Tahoma"/>
          <w:b/>
          <w:sz w:val="26"/>
          <w:szCs w:val="26"/>
        </w:rPr>
        <w:t>РЕГЛАМЕНТ ДОПУСКА К ТОРГОВОЙ СИСТЕМЕ ОПТОВОГО РЫНКА</w:t>
      </w:r>
      <w:r w:rsidR="00A940F1" w:rsidRPr="00107919" w:rsidDel="00A940F1">
        <w:rPr>
          <w:rFonts w:ascii="Garamond" w:hAnsi="Garamond" w:cs="Tahoma"/>
          <w:b/>
          <w:sz w:val="26"/>
          <w:szCs w:val="26"/>
        </w:rPr>
        <w:t xml:space="preserve"> </w:t>
      </w:r>
      <w:r w:rsidRPr="00107919">
        <w:rPr>
          <w:rFonts w:ascii="Garamond" w:hAnsi="Garamond" w:cs="Tahoma"/>
          <w:b/>
          <w:sz w:val="26"/>
          <w:szCs w:val="26"/>
        </w:rPr>
        <w:t>(Приложение № 1 к Договору о присоединении к торговой системе оптового рынка)</w:t>
      </w:r>
    </w:p>
    <w:p w14:paraId="481698E4" w14:textId="77777777" w:rsidR="00D377DF" w:rsidRPr="00DF7555" w:rsidRDefault="00D377DF" w:rsidP="00107919">
      <w:pPr>
        <w:jc w:val="both"/>
        <w:rPr>
          <w:rFonts w:ascii="Garamond" w:hAnsi="Garamond" w:cs="Tahoma"/>
          <w:b/>
          <w:sz w:val="28"/>
          <w:szCs w:val="28"/>
        </w:rPr>
      </w:pPr>
    </w:p>
    <w:tbl>
      <w:tblPr>
        <w:tblW w:w="146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6719"/>
        <w:gridCol w:w="6945"/>
      </w:tblGrid>
      <w:tr w:rsidR="004F7D53" w:rsidRPr="00107919" w14:paraId="529E7A00" w14:textId="77777777" w:rsidTr="00107919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3374" w14:textId="77777777" w:rsidR="004F7D53" w:rsidRPr="00107919" w:rsidRDefault="004F7D53" w:rsidP="0010791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107919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0220" w14:textId="77777777" w:rsidR="00107919" w:rsidRPr="00107919" w:rsidRDefault="00107919" w:rsidP="00107919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bookmarkStart w:id="3" w:name="_GoBack"/>
            <w:bookmarkEnd w:id="3"/>
            <w:r w:rsidRPr="00107919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2466ADB4" w14:textId="76663294" w:rsidR="004F7D53" w:rsidRPr="00107919" w:rsidRDefault="00107919" w:rsidP="0010791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107919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7D6A" w14:textId="77777777" w:rsidR="00107919" w:rsidRPr="00107919" w:rsidRDefault="00107919" w:rsidP="0010791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07919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12228D96" w14:textId="5F4945B7" w:rsidR="004F7D53" w:rsidRPr="00107919" w:rsidRDefault="00107919" w:rsidP="0010791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A940F1" w:rsidRPr="00107919" w14:paraId="14A4A4DA" w14:textId="77777777" w:rsidTr="00107919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28EB" w14:textId="02BC0E6E" w:rsidR="00A940F1" w:rsidRPr="00107919" w:rsidRDefault="00A940F1" w:rsidP="00A940F1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107919">
              <w:rPr>
                <w:rFonts w:ascii="Garamond" w:hAnsi="Garamond"/>
                <w:b/>
                <w:bCs/>
                <w:sz w:val="22"/>
                <w:szCs w:val="22"/>
              </w:rPr>
              <w:t>Приложение 3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8DD2" w14:textId="77777777" w:rsidR="00A940F1" w:rsidRPr="00107919" w:rsidRDefault="00A940F1" w:rsidP="00107919">
            <w:pPr>
              <w:numPr>
                <w:ilvl w:val="1"/>
                <w:numId w:val="14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>Телеизмерения и телесигнализация должны содержать метки всемирного координированного времени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, предусмотренные используемыми протоколами передачи данных. При новом строительстве или комплексной модернизации </w:t>
            </w:r>
            <w:proofErr w:type="spellStart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>, п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ри согласовании СО технического задания на </w:t>
            </w:r>
            <w:proofErr w:type="spellStart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 должна быть обеспечена передача меток времени с низовых устройств (измерительных преобразователях, блоках ввода ТС и пр.) в режиме, предусмотренном протоколом передачи телеинформации в соответствии с ГОСТ Р </w:t>
            </w:r>
            <w:proofErr w:type="spellStart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МЭК</w:t>
            </w:r>
            <w:proofErr w:type="spellEnd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 60870-5-104-2004</w:t>
            </w:r>
            <w:r w:rsidRPr="00107919">
              <w:rPr>
                <w:rFonts w:ascii="Garamond" w:hAnsi="Garamond"/>
                <w:sz w:val="22"/>
                <w:szCs w:val="22"/>
              </w:rPr>
              <w:t>.</w:t>
            </w:r>
          </w:p>
          <w:p w14:paraId="77D691F2" w14:textId="77777777" w:rsidR="00A940F1" w:rsidRPr="00107919" w:rsidRDefault="00A940F1" w:rsidP="00107919">
            <w:pPr>
              <w:numPr>
                <w:ilvl w:val="1"/>
                <w:numId w:val="14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 xml:space="preserve">Суммарное время измерения и передачи телеинформации с объектов электроэнергетики </w:t>
            </w:r>
            <w:proofErr w:type="gramStart"/>
            <w:r w:rsidRPr="00107919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107919">
              <w:rPr>
                <w:rFonts w:ascii="Garamond" w:hAnsi="Garamond"/>
                <w:sz w:val="22"/>
                <w:szCs w:val="22"/>
              </w:rPr>
              <w:t xml:space="preserve"> (без учета времени обработки данных в ОИК СО) – от 1 до 5 с в зависимости от уровня диспетчерского управления и принадлежности к той или иной подсистеме автоматизированной системы диспетчерского управления. 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При новом строительстве или комплексной модернизации </w:t>
            </w:r>
            <w:proofErr w:type="spellStart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>, п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ри согласовании СО технического задания на </w:t>
            </w:r>
            <w:proofErr w:type="spellStart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 после 01.01.2019 суммарное время не должно превышать</w:t>
            </w:r>
            <w:r w:rsidRPr="00107919">
              <w:rPr>
                <w:rFonts w:ascii="Garamond" w:hAnsi="Garamond"/>
                <w:sz w:val="22"/>
                <w:szCs w:val="22"/>
              </w:rPr>
              <w:t xml:space="preserve"> 1 с.</w:t>
            </w:r>
          </w:p>
          <w:p w14:paraId="7DA9D6E3" w14:textId="77777777" w:rsidR="00A940F1" w:rsidRPr="00107919" w:rsidRDefault="00A940F1" w:rsidP="00107919">
            <w:pPr>
              <w:numPr>
                <w:ilvl w:val="1"/>
                <w:numId w:val="14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lastRenderedPageBreak/>
              <w:t>Время исполнения команды телеуправления от момента ее выдачи до завершения исполнения не должно превышать 10 с.</w:t>
            </w:r>
          </w:p>
          <w:p w14:paraId="77A5CAE8" w14:textId="77777777" w:rsidR="00A940F1" w:rsidRPr="00107919" w:rsidRDefault="00A940F1" w:rsidP="00107919">
            <w:pPr>
              <w:numPr>
                <w:ilvl w:val="1"/>
                <w:numId w:val="14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>Время передачи телесигнализации не должно превышать 5 с.</w:t>
            </w:r>
          </w:p>
          <w:p w14:paraId="2E661DA5" w14:textId="77777777" w:rsidR="00A940F1" w:rsidRPr="00107919" w:rsidRDefault="00A940F1" w:rsidP="00107919">
            <w:pPr>
              <w:numPr>
                <w:ilvl w:val="1"/>
                <w:numId w:val="14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>Вероятность появления ошибки телеинформации должна соответствовать первой категории систем телемеханики ГОСТ 26.205-88.</w:t>
            </w:r>
          </w:p>
          <w:p w14:paraId="1E8C040E" w14:textId="77777777" w:rsidR="00A940F1" w:rsidRPr="00107919" w:rsidRDefault="00A940F1" w:rsidP="00107919">
            <w:pPr>
              <w:numPr>
                <w:ilvl w:val="1"/>
                <w:numId w:val="14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 xml:space="preserve">Протокол передачи телеинформации должен соответствовать требованиям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МЭК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. Для действующих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рекомендованным протоколом передачи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ТИ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является протокол, соответствующий ГОСТ Р 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МЭК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60870-5-104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-2004</w:t>
            </w:r>
            <w:r w:rsidRPr="00107919">
              <w:rPr>
                <w:rFonts w:ascii="Garamond" w:hAnsi="Garamond"/>
                <w:sz w:val="22"/>
                <w:szCs w:val="22"/>
              </w:rPr>
              <w:t xml:space="preserve">. При новом строительстве или комплексной модернизации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 xml:space="preserve">, при согласовании СО технического задания на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 xml:space="preserve"> после 01.06.2017</w:t>
            </w:r>
            <w:r w:rsidRPr="00107919">
              <w:rPr>
                <w:rFonts w:ascii="Garamond" w:hAnsi="Garamond"/>
                <w:sz w:val="22"/>
                <w:szCs w:val="22"/>
              </w:rPr>
              <w:t xml:space="preserve"> использование протокола передачи телеинформации, соответствующего ГОСТ Р 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МЭК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60870-5-104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-2004</w:t>
            </w:r>
            <w:r w:rsidRPr="00107919">
              <w:rPr>
                <w:rFonts w:ascii="Garamond" w:hAnsi="Garamond"/>
                <w:sz w:val="22"/>
                <w:szCs w:val="22"/>
              </w:rPr>
              <w:t>, является обязательным.</w:t>
            </w:r>
          </w:p>
          <w:p w14:paraId="7C846101" w14:textId="77777777" w:rsidR="00A940F1" w:rsidRPr="00107919" w:rsidRDefault="00A940F1" w:rsidP="00107919">
            <w:pPr>
              <w:numPr>
                <w:ilvl w:val="1"/>
                <w:numId w:val="14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 xml:space="preserve">При новом строительстве и комплексной реконструкции объектов электроэнергетики, в отношении которых сформированы ГТП генерации и ГТП потребления с регулируемой нагрузкой, а также при замене, истечении срока службы, отрицательных результатах поверки измерительных трансформаторов тока, используемых в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, должны устанавливаться цифровые датчики (многофункциональные измерительные преобразователи или контроллеры) с классом точности не хуже 0,5S, подключаемые к кернам измерительных трансформаторов напряжения с классом точности не хуже 0,5 и измерительных трансформаторов тока с классом точности не хуже 0,5S. При выполнении технических требований к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в соответствии с техническими заданиями, согласованными СО до 01.09.2021, цифровые датчики (многофункциональные измерительные преобразователи или контроллеры) с классом точности не хуже 0,5S допускается подключать к кернам измерительных трансформаторов напряжения с классом точности не хуже 0,5 и измерительных трансформаторов тока с классом точности не хуже 0,5.</w:t>
            </w:r>
          </w:p>
          <w:p w14:paraId="7D8A4DFC" w14:textId="0ADDFCC9" w:rsidR="00A940F1" w:rsidRDefault="00A940F1" w:rsidP="00107919">
            <w:pPr>
              <w:numPr>
                <w:ilvl w:val="1"/>
                <w:numId w:val="14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 xml:space="preserve">Формуляр передачи данных по протоколу ГОСТ Р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МЭК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60870-5-104-2004 должен быть согласован с СО.</w:t>
            </w:r>
          </w:p>
          <w:p w14:paraId="3DDEA8AB" w14:textId="0399DC30" w:rsidR="00A940F1" w:rsidRPr="00F627B7" w:rsidRDefault="00F627B7" w:rsidP="00107919">
            <w:pPr>
              <w:numPr>
                <w:ilvl w:val="1"/>
                <w:numId w:val="14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lastRenderedPageBreak/>
              <w:t>Должны быть предусмотрены мероприятия по информационной безопасности в соответствии с действующими нормативно-правовыми актами и нормативно-техническими документами.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8629" w14:textId="77777777" w:rsidR="00A940F1" w:rsidRPr="00107919" w:rsidRDefault="00A940F1" w:rsidP="00107919">
            <w:pPr>
              <w:numPr>
                <w:ilvl w:val="1"/>
                <w:numId w:val="15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lastRenderedPageBreak/>
              <w:t>Телеизмерения и телесигнализация должны содержать метки всемирного координированного времени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, предусмотренные используемыми протоколами передачи данных. При новом строительстве или комплексной модернизации </w:t>
            </w:r>
            <w:proofErr w:type="spellStart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>, п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ри согласовании СО технического задания на </w:t>
            </w:r>
            <w:proofErr w:type="spellStart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 должна быть обеспечена передача меток времени с низовых устройств (измерительных преобразователях, блоках ввода ТС и пр.) в режиме, предусмотренном протоколом передачи телеинформации в соответствии с ГОСТ Р </w:t>
            </w:r>
            <w:proofErr w:type="spellStart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МЭК</w:t>
            </w:r>
            <w:proofErr w:type="spellEnd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 60870-5-104-2004</w:t>
            </w:r>
            <w:r w:rsidR="009A64B0"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9A64B0" w:rsidRPr="00107919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или</w:t>
            </w:r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>МЭК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 xml:space="preserve"> 60870-6 (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>ICCP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>/TASE.2).</w:t>
            </w:r>
          </w:p>
          <w:p w14:paraId="7C9C84CB" w14:textId="77777777" w:rsidR="00A940F1" w:rsidRPr="00107919" w:rsidRDefault="00A940F1" w:rsidP="00107919">
            <w:pPr>
              <w:numPr>
                <w:ilvl w:val="1"/>
                <w:numId w:val="15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 xml:space="preserve">Суммарное время измерения и передачи телеинформации с объектов электроэнергетики </w:t>
            </w:r>
            <w:proofErr w:type="gramStart"/>
            <w:r w:rsidRPr="00107919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107919">
              <w:rPr>
                <w:rFonts w:ascii="Garamond" w:hAnsi="Garamond"/>
                <w:sz w:val="22"/>
                <w:szCs w:val="22"/>
              </w:rPr>
              <w:t xml:space="preserve"> (без учета времени обработки данных в ОИК СО) – от 1 до 5 с в зависимости от уровня диспетчерского управления и принадлежности к той или иной подсистеме автоматизированной системы диспетчерского управления. 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При новом строительстве или комплексной модернизации </w:t>
            </w:r>
            <w:proofErr w:type="spellStart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>, п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ри согласовании СО технического задания на </w:t>
            </w:r>
            <w:proofErr w:type="spellStart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 xml:space="preserve"> после 01.01.2019 суммарное время не должно превышать</w:t>
            </w:r>
            <w:r w:rsidRPr="00107919">
              <w:rPr>
                <w:rFonts w:ascii="Garamond" w:hAnsi="Garamond"/>
                <w:sz w:val="22"/>
                <w:szCs w:val="22"/>
              </w:rPr>
              <w:t xml:space="preserve"> 1 с.</w:t>
            </w:r>
          </w:p>
          <w:p w14:paraId="1B9F5EE7" w14:textId="77777777" w:rsidR="00A940F1" w:rsidRPr="00107919" w:rsidRDefault="00A940F1" w:rsidP="00107919">
            <w:pPr>
              <w:numPr>
                <w:ilvl w:val="1"/>
                <w:numId w:val="15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lastRenderedPageBreak/>
              <w:t>Время исполнения команды телеуправления от момента ее выдачи до завершения исполнения не должно превышать 10 с.</w:t>
            </w:r>
          </w:p>
          <w:p w14:paraId="4C0880D6" w14:textId="77777777" w:rsidR="00A940F1" w:rsidRPr="00107919" w:rsidRDefault="00A940F1" w:rsidP="00107919">
            <w:pPr>
              <w:numPr>
                <w:ilvl w:val="1"/>
                <w:numId w:val="15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>Время передачи телесигнализации не должно превышать 5 с.</w:t>
            </w:r>
          </w:p>
          <w:p w14:paraId="7D435F11" w14:textId="77777777" w:rsidR="00A940F1" w:rsidRPr="00107919" w:rsidRDefault="00A940F1" w:rsidP="00107919">
            <w:pPr>
              <w:numPr>
                <w:ilvl w:val="1"/>
                <w:numId w:val="15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>Вероятность появления ошибки телеинформации должна соответствовать первой категории систем телемеханики ГОСТ 26.205-88.</w:t>
            </w:r>
          </w:p>
          <w:p w14:paraId="1CA2FA67" w14:textId="77777777" w:rsidR="00A940F1" w:rsidRPr="00107919" w:rsidRDefault="00A940F1" w:rsidP="00107919">
            <w:pPr>
              <w:numPr>
                <w:ilvl w:val="1"/>
                <w:numId w:val="15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 xml:space="preserve">Протокол передачи телеинформации должен соответствовать требованиям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МЭК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. Для действующих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рекомендованным протоколом передачи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ТИ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является протокол, соответствующий ГОСТ Р 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МЭК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60870-5-104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-2004</w:t>
            </w:r>
            <w:r w:rsidRPr="00107919">
              <w:rPr>
                <w:rFonts w:ascii="Garamond" w:hAnsi="Garamond"/>
                <w:sz w:val="22"/>
                <w:szCs w:val="22"/>
              </w:rPr>
              <w:t xml:space="preserve">. При новом строительстве или комплексной модернизации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использование протокола передачи телеинформации, соответствующего ГОСТ Р 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МЭК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60870-5-104</w:t>
            </w:r>
            <w:r w:rsidRPr="00107919">
              <w:rPr>
                <w:rFonts w:ascii="Garamond" w:hAnsi="Garamond"/>
                <w:color w:val="000000"/>
                <w:sz w:val="22"/>
                <w:szCs w:val="22"/>
              </w:rPr>
              <w:t>-2004</w:t>
            </w:r>
            <w:r w:rsidRPr="00107919">
              <w:rPr>
                <w:rFonts w:ascii="Garamond" w:hAnsi="Garamond"/>
                <w:sz w:val="22"/>
                <w:szCs w:val="22"/>
              </w:rPr>
              <w:t xml:space="preserve">, является обязательным. </w:t>
            </w:r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 xml:space="preserve">По согласованию </w:t>
            </w:r>
            <w:r w:rsidR="00F91438" w:rsidRPr="00107919">
              <w:rPr>
                <w:rFonts w:ascii="Garamond" w:hAnsi="Garamond"/>
                <w:sz w:val="22"/>
                <w:szCs w:val="22"/>
                <w:highlight w:val="yellow"/>
              </w:rPr>
              <w:t xml:space="preserve">участником оптового рынка </w:t>
            </w:r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>с СО допускается применени</w:t>
            </w:r>
            <w:r w:rsidR="00FF281F" w:rsidRPr="00107919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 xml:space="preserve"> протокола передачи телеинформации, соответствующего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>МЭК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 xml:space="preserve"> 60870-6 (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>ICCP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  <w:highlight w:val="yellow"/>
              </w:rPr>
              <w:t>/TASE.2).</w:t>
            </w:r>
          </w:p>
          <w:p w14:paraId="336CF233" w14:textId="77777777" w:rsidR="00A940F1" w:rsidRPr="00107919" w:rsidRDefault="00A940F1" w:rsidP="00107919">
            <w:pPr>
              <w:numPr>
                <w:ilvl w:val="1"/>
                <w:numId w:val="15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 xml:space="preserve">При новом строительстве и комплексной реконструкции объектов электроэнергетики, в отношении которых сформированы ГТП генерации и ГТП потребления с регулируемой нагрузкой, а также при замене, истечении срока службы, отрицательных результатах поверки измерительных трансформаторов тока, используемых в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, должны устанавливаться цифровые датчики (многофункциональные измерительные преобразователи или контроллеры) с классом точности не хуже 0,5S, подключаемые к кернам измерительных трансформаторов напряжения с классом точности не хуже 0,5 и измерительных трансформаторов тока с классом точности не хуже 0,5S. При выполнении технических требований к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СОТИАССО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в соответствии с техническими заданиями, согласованными СО до 01.09.2021, цифровые датчики (многофункциональные измерительные преобразователи или контроллеры) с классом точности не хуже 0,5S допускается подключать к кернам измерительных трансформаторов напряжения с классом точности не хуже 0,5 и измерительных трансформаторов тока с классом точности не хуже 0,5.</w:t>
            </w:r>
          </w:p>
          <w:p w14:paraId="75944B84" w14:textId="4C34FF50" w:rsidR="00A940F1" w:rsidRDefault="00A940F1" w:rsidP="00107919">
            <w:pPr>
              <w:numPr>
                <w:ilvl w:val="1"/>
                <w:numId w:val="15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t xml:space="preserve">Формуляр передачи данных по протоколу ГОСТ Р </w:t>
            </w:r>
            <w:proofErr w:type="spellStart"/>
            <w:r w:rsidRPr="00107919">
              <w:rPr>
                <w:rFonts w:ascii="Garamond" w:hAnsi="Garamond"/>
                <w:sz w:val="22"/>
                <w:szCs w:val="22"/>
              </w:rPr>
              <w:t>МЭК</w:t>
            </w:r>
            <w:proofErr w:type="spellEnd"/>
            <w:r w:rsidRPr="00107919">
              <w:rPr>
                <w:rFonts w:ascii="Garamond" w:hAnsi="Garamond"/>
                <w:sz w:val="22"/>
                <w:szCs w:val="22"/>
              </w:rPr>
              <w:t xml:space="preserve"> 60870-5-104-2004</w:t>
            </w:r>
            <w:r w:rsidR="00AF484A" w:rsidRPr="0010791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F484A" w:rsidRPr="00107919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="007C1B71" w:rsidRPr="00107919">
              <w:rPr>
                <w:rFonts w:ascii="Garamond" w:hAnsi="Garamond"/>
                <w:sz w:val="22"/>
                <w:szCs w:val="22"/>
                <w:highlight w:val="yellow"/>
              </w:rPr>
              <w:t>ли</w:t>
            </w:r>
            <w:r w:rsidR="00AF484A" w:rsidRPr="0010791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="00AF484A" w:rsidRPr="00107919">
              <w:rPr>
                <w:rFonts w:ascii="Garamond" w:hAnsi="Garamond"/>
                <w:sz w:val="22"/>
                <w:szCs w:val="22"/>
                <w:highlight w:val="yellow"/>
              </w:rPr>
              <w:t>МЭК</w:t>
            </w:r>
            <w:proofErr w:type="spellEnd"/>
            <w:r w:rsidR="00AF484A" w:rsidRPr="00107919">
              <w:rPr>
                <w:rFonts w:ascii="Garamond" w:hAnsi="Garamond"/>
                <w:sz w:val="22"/>
                <w:szCs w:val="22"/>
                <w:highlight w:val="yellow"/>
              </w:rPr>
              <w:t xml:space="preserve"> 60870-6 (</w:t>
            </w:r>
            <w:proofErr w:type="spellStart"/>
            <w:r w:rsidR="00AF484A" w:rsidRPr="00107919">
              <w:rPr>
                <w:rFonts w:ascii="Garamond" w:hAnsi="Garamond"/>
                <w:sz w:val="22"/>
                <w:szCs w:val="22"/>
                <w:highlight w:val="yellow"/>
              </w:rPr>
              <w:t>ICCP</w:t>
            </w:r>
            <w:proofErr w:type="spellEnd"/>
            <w:r w:rsidR="00AF484A" w:rsidRPr="00107919">
              <w:rPr>
                <w:rFonts w:ascii="Garamond" w:hAnsi="Garamond"/>
                <w:sz w:val="22"/>
                <w:szCs w:val="22"/>
                <w:highlight w:val="yellow"/>
              </w:rPr>
              <w:t>/TASE.2)</w:t>
            </w:r>
            <w:r w:rsidRPr="00107919">
              <w:rPr>
                <w:rFonts w:ascii="Garamond" w:hAnsi="Garamond"/>
                <w:sz w:val="22"/>
                <w:szCs w:val="22"/>
              </w:rPr>
              <w:t xml:space="preserve"> должен быть согласован с СО.</w:t>
            </w:r>
          </w:p>
          <w:p w14:paraId="5522019C" w14:textId="7A903F6C" w:rsidR="00A940F1" w:rsidRPr="00F627B7" w:rsidRDefault="00F627B7" w:rsidP="00F627B7">
            <w:pPr>
              <w:numPr>
                <w:ilvl w:val="1"/>
                <w:numId w:val="15"/>
              </w:numPr>
              <w:tabs>
                <w:tab w:val="left" w:pos="0"/>
                <w:tab w:val="left" w:pos="1080"/>
              </w:tabs>
              <w:spacing w:before="120" w:after="120"/>
              <w:ind w:left="16" w:firstLine="551"/>
              <w:jc w:val="both"/>
              <w:rPr>
                <w:rFonts w:ascii="Garamond" w:hAnsi="Garamond"/>
                <w:sz w:val="22"/>
                <w:szCs w:val="22"/>
              </w:rPr>
            </w:pPr>
            <w:r w:rsidRPr="00107919">
              <w:rPr>
                <w:rFonts w:ascii="Garamond" w:hAnsi="Garamond"/>
                <w:sz w:val="22"/>
                <w:szCs w:val="22"/>
              </w:rPr>
              <w:lastRenderedPageBreak/>
              <w:t>Должны быть предусмотрены мероприятия по информационной безопасности в соответствии с действующими нормативно-правовыми актами и нормативно-техническими документами.</w:t>
            </w:r>
          </w:p>
        </w:tc>
      </w:tr>
    </w:tbl>
    <w:p w14:paraId="0B54F73F" w14:textId="77777777" w:rsidR="00A752FC" w:rsidRDefault="00A752FC" w:rsidP="00A752FC">
      <w:pPr>
        <w:rPr>
          <w:b/>
        </w:rPr>
      </w:pPr>
    </w:p>
    <w:p w14:paraId="559DDA44" w14:textId="77777777" w:rsidR="00D377DF" w:rsidRDefault="00D377DF" w:rsidP="00A752FC">
      <w:pPr>
        <w:rPr>
          <w:b/>
        </w:rPr>
      </w:pPr>
    </w:p>
    <w:p w14:paraId="438A3DB2" w14:textId="77777777" w:rsidR="00D377DF" w:rsidRDefault="00D377DF" w:rsidP="00D377DF">
      <w:pPr>
        <w:rPr>
          <w:b/>
        </w:rPr>
      </w:pPr>
    </w:p>
    <w:sectPr w:rsidR="00D377DF" w:rsidSect="00107919">
      <w:headerReference w:type="default" r:id="rId11"/>
      <w:pgSz w:w="16838" w:h="11906" w:orient="landscape" w:code="9"/>
      <w:pgMar w:top="1134" w:right="82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D080C" w14:textId="77777777" w:rsidR="0043476A" w:rsidRDefault="0043476A">
      <w:r>
        <w:separator/>
      </w:r>
    </w:p>
  </w:endnote>
  <w:endnote w:type="continuationSeparator" w:id="0">
    <w:p w14:paraId="03677D64" w14:textId="77777777" w:rsidR="0043476A" w:rsidRDefault="0043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E499A" w14:textId="77777777" w:rsidR="0043476A" w:rsidRDefault="0043476A">
      <w:r>
        <w:separator/>
      </w:r>
    </w:p>
  </w:footnote>
  <w:footnote w:type="continuationSeparator" w:id="0">
    <w:p w14:paraId="1F94821F" w14:textId="77777777" w:rsidR="0043476A" w:rsidRDefault="00434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21719" w14:textId="55947982" w:rsidR="00DF7555" w:rsidRDefault="00DF7555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1138"/>
    <w:multiLevelType w:val="hybridMultilevel"/>
    <w:tmpl w:val="2AEE5B54"/>
    <w:lvl w:ilvl="0" w:tplc="D3DA00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386D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3D4F91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AC29D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F1E90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D8F6D7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FC78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EC38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A261C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B72312"/>
    <w:multiLevelType w:val="hybridMultilevel"/>
    <w:tmpl w:val="79E610EC"/>
    <w:lvl w:ilvl="0" w:tplc="4094EC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30E48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14CB3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6200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008F3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E7EE7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FCE4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540CD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4A0644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AF6F92"/>
    <w:multiLevelType w:val="multilevel"/>
    <w:tmpl w:val="E5D822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 w15:restartNumberingAfterBreak="0">
    <w:nsid w:val="08490DD9"/>
    <w:multiLevelType w:val="hybridMultilevel"/>
    <w:tmpl w:val="378E9D6C"/>
    <w:lvl w:ilvl="0" w:tplc="04190005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11079B"/>
    <w:multiLevelType w:val="multilevel"/>
    <w:tmpl w:val="F0069CA2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0BB66D4E"/>
    <w:multiLevelType w:val="hybridMultilevel"/>
    <w:tmpl w:val="33D6032E"/>
    <w:lvl w:ilvl="0" w:tplc="C4EE64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6F61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DA3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9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24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EA4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4A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0C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84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C0F55"/>
    <w:multiLevelType w:val="multilevel"/>
    <w:tmpl w:val="CA5010C2"/>
    <w:lvl w:ilvl="0">
      <w:start w:val="4"/>
      <w:numFmt w:val="upperRoman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09915A1"/>
    <w:multiLevelType w:val="multilevel"/>
    <w:tmpl w:val="EF38C3F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" w15:restartNumberingAfterBreak="0">
    <w:nsid w:val="31ED14B0"/>
    <w:multiLevelType w:val="multilevel"/>
    <w:tmpl w:val="1950684A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88" w:hanging="405"/>
      </w:pPr>
      <w:rPr>
        <w:rFonts w:cs="Times New Roman" w:hint="default"/>
        <w:u w:val="none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29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5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1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cs="Times New Roman" w:hint="default"/>
        <w:u w:val="none"/>
      </w:rPr>
    </w:lvl>
  </w:abstractNum>
  <w:abstractNum w:abstractNumId="10" w15:restartNumberingAfterBreak="0">
    <w:nsid w:val="40511890"/>
    <w:multiLevelType w:val="hybridMultilevel"/>
    <w:tmpl w:val="14520630"/>
    <w:lvl w:ilvl="0" w:tplc="648E03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8685E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0D61A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120D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743E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F44087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0C7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1342F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3FC96F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BF1409"/>
    <w:multiLevelType w:val="hybridMultilevel"/>
    <w:tmpl w:val="240652D2"/>
    <w:lvl w:ilvl="0" w:tplc="0419000B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27003"/>
    <w:multiLevelType w:val="multilevel"/>
    <w:tmpl w:val="DD4A01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4" w15:restartNumberingAfterBreak="0">
    <w:nsid w:val="7C2C7791"/>
    <w:multiLevelType w:val="multilevel"/>
    <w:tmpl w:val="308CF70E"/>
    <w:lvl w:ilvl="0">
      <w:start w:val="1"/>
      <w:numFmt w:val="decimal"/>
      <w:lvlText w:val="%1"/>
      <w:lvlJc w:val="left"/>
      <w:pPr>
        <w:tabs>
          <w:tab w:val="num" w:pos="0"/>
        </w:tabs>
        <w:ind w:left="176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76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212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4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4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84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2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3207" w:hanging="180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6"/>
  </w:num>
  <w:num w:numId="5">
    <w:abstractNumId w:val="4"/>
  </w:num>
  <w:num w:numId="6">
    <w:abstractNumId w:val="11"/>
  </w:num>
  <w:num w:numId="7">
    <w:abstractNumId w:val="10"/>
  </w:num>
  <w:num w:numId="8">
    <w:abstractNumId w:val="1"/>
  </w:num>
  <w:num w:numId="9">
    <w:abstractNumId w:val="2"/>
  </w:num>
  <w:num w:numId="10">
    <w:abstractNumId w:val="5"/>
  </w:num>
  <w:num w:numId="11">
    <w:abstractNumId w:val="14"/>
  </w:num>
  <w:num w:numId="12">
    <w:abstractNumId w:val="9"/>
  </w:num>
  <w:num w:numId="13">
    <w:abstractNumId w:val="8"/>
  </w:num>
  <w:num w:numId="14">
    <w:abstractNumId w:val="13"/>
  </w:num>
  <w:num w:numId="15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1630"/>
    <w:rsid w:val="000057F3"/>
    <w:rsid w:val="000148B2"/>
    <w:rsid w:val="00044BBF"/>
    <w:rsid w:val="00046843"/>
    <w:rsid w:val="00051DFA"/>
    <w:rsid w:val="0007712D"/>
    <w:rsid w:val="000A7F31"/>
    <w:rsid w:val="000B4708"/>
    <w:rsid w:val="000B618F"/>
    <w:rsid w:val="000C6E17"/>
    <w:rsid w:val="000C6EB8"/>
    <w:rsid w:val="000C7F73"/>
    <w:rsid w:val="000D1087"/>
    <w:rsid w:val="000E3105"/>
    <w:rsid w:val="00107919"/>
    <w:rsid w:val="0011296A"/>
    <w:rsid w:val="00117B97"/>
    <w:rsid w:val="001321AA"/>
    <w:rsid w:val="0015299C"/>
    <w:rsid w:val="001665F3"/>
    <w:rsid w:val="0017116F"/>
    <w:rsid w:val="0017258F"/>
    <w:rsid w:val="00181165"/>
    <w:rsid w:val="001828DE"/>
    <w:rsid w:val="00182EE0"/>
    <w:rsid w:val="00190124"/>
    <w:rsid w:val="001B045C"/>
    <w:rsid w:val="001B14C9"/>
    <w:rsid w:val="001C1B13"/>
    <w:rsid w:val="001D31A6"/>
    <w:rsid w:val="001D5F63"/>
    <w:rsid w:val="001E0F36"/>
    <w:rsid w:val="001E53CE"/>
    <w:rsid w:val="001E7FE9"/>
    <w:rsid w:val="001F4837"/>
    <w:rsid w:val="0020242D"/>
    <w:rsid w:val="002039F7"/>
    <w:rsid w:val="0020412B"/>
    <w:rsid w:val="00211D72"/>
    <w:rsid w:val="00216B23"/>
    <w:rsid w:val="00231014"/>
    <w:rsid w:val="00256D03"/>
    <w:rsid w:val="002573EE"/>
    <w:rsid w:val="00270B21"/>
    <w:rsid w:val="00270CCA"/>
    <w:rsid w:val="0028195F"/>
    <w:rsid w:val="002A024A"/>
    <w:rsid w:val="002A21F7"/>
    <w:rsid w:val="002A5302"/>
    <w:rsid w:val="002B6A2B"/>
    <w:rsid w:val="002B7734"/>
    <w:rsid w:val="002E5631"/>
    <w:rsid w:val="00300693"/>
    <w:rsid w:val="00307A85"/>
    <w:rsid w:val="00316443"/>
    <w:rsid w:val="003375E9"/>
    <w:rsid w:val="003376F2"/>
    <w:rsid w:val="00346D33"/>
    <w:rsid w:val="00347EF2"/>
    <w:rsid w:val="003567DA"/>
    <w:rsid w:val="003608D0"/>
    <w:rsid w:val="00373AE2"/>
    <w:rsid w:val="00375C9F"/>
    <w:rsid w:val="00384154"/>
    <w:rsid w:val="00387200"/>
    <w:rsid w:val="0039224F"/>
    <w:rsid w:val="00394B81"/>
    <w:rsid w:val="00395B9B"/>
    <w:rsid w:val="003A45FC"/>
    <w:rsid w:val="003B399A"/>
    <w:rsid w:val="003C5B5B"/>
    <w:rsid w:val="003E48C4"/>
    <w:rsid w:val="003E7098"/>
    <w:rsid w:val="003E7E3F"/>
    <w:rsid w:val="003F32D8"/>
    <w:rsid w:val="003F7FC2"/>
    <w:rsid w:val="00424ADA"/>
    <w:rsid w:val="004257D0"/>
    <w:rsid w:val="004259DB"/>
    <w:rsid w:val="0043476A"/>
    <w:rsid w:val="004348EB"/>
    <w:rsid w:val="00442DC0"/>
    <w:rsid w:val="00444921"/>
    <w:rsid w:val="004462F4"/>
    <w:rsid w:val="00456E37"/>
    <w:rsid w:val="00482042"/>
    <w:rsid w:val="00482565"/>
    <w:rsid w:val="004825E1"/>
    <w:rsid w:val="0048284C"/>
    <w:rsid w:val="004863E3"/>
    <w:rsid w:val="004A1BB2"/>
    <w:rsid w:val="004B209A"/>
    <w:rsid w:val="004B769A"/>
    <w:rsid w:val="004C43AD"/>
    <w:rsid w:val="004D0F7D"/>
    <w:rsid w:val="004D2E5C"/>
    <w:rsid w:val="004F2997"/>
    <w:rsid w:val="004F7D53"/>
    <w:rsid w:val="0051429E"/>
    <w:rsid w:val="0051763C"/>
    <w:rsid w:val="005218EB"/>
    <w:rsid w:val="005247DF"/>
    <w:rsid w:val="00550016"/>
    <w:rsid w:val="005521D8"/>
    <w:rsid w:val="00556EB5"/>
    <w:rsid w:val="00567744"/>
    <w:rsid w:val="00574C05"/>
    <w:rsid w:val="00574E42"/>
    <w:rsid w:val="005835C0"/>
    <w:rsid w:val="00586133"/>
    <w:rsid w:val="00593763"/>
    <w:rsid w:val="00596F81"/>
    <w:rsid w:val="005A2AEE"/>
    <w:rsid w:val="005A58CC"/>
    <w:rsid w:val="005A7ADF"/>
    <w:rsid w:val="005B4611"/>
    <w:rsid w:val="005C70C4"/>
    <w:rsid w:val="005C7A99"/>
    <w:rsid w:val="005D1B62"/>
    <w:rsid w:val="005D538B"/>
    <w:rsid w:val="005D5F66"/>
    <w:rsid w:val="005E26B7"/>
    <w:rsid w:val="005F479C"/>
    <w:rsid w:val="005F745C"/>
    <w:rsid w:val="006029FA"/>
    <w:rsid w:val="0060371E"/>
    <w:rsid w:val="00606A3F"/>
    <w:rsid w:val="006072A3"/>
    <w:rsid w:val="00607A12"/>
    <w:rsid w:val="006266A8"/>
    <w:rsid w:val="00627DA6"/>
    <w:rsid w:val="00640C5B"/>
    <w:rsid w:val="00657414"/>
    <w:rsid w:val="0067579A"/>
    <w:rsid w:val="00687FBB"/>
    <w:rsid w:val="00692BF0"/>
    <w:rsid w:val="006946E4"/>
    <w:rsid w:val="00696883"/>
    <w:rsid w:val="006C3BB0"/>
    <w:rsid w:val="006C4AF3"/>
    <w:rsid w:val="006C583D"/>
    <w:rsid w:val="006D48AA"/>
    <w:rsid w:val="006D6338"/>
    <w:rsid w:val="006E1AB5"/>
    <w:rsid w:val="006E3AF1"/>
    <w:rsid w:val="006F1513"/>
    <w:rsid w:val="00700C3D"/>
    <w:rsid w:val="0070244A"/>
    <w:rsid w:val="00704EF5"/>
    <w:rsid w:val="0070769F"/>
    <w:rsid w:val="00710A1F"/>
    <w:rsid w:val="00711AB6"/>
    <w:rsid w:val="00721035"/>
    <w:rsid w:val="007249A7"/>
    <w:rsid w:val="00734DD3"/>
    <w:rsid w:val="00740AB0"/>
    <w:rsid w:val="00747126"/>
    <w:rsid w:val="00754111"/>
    <w:rsid w:val="007548CD"/>
    <w:rsid w:val="00767FAE"/>
    <w:rsid w:val="00774A92"/>
    <w:rsid w:val="00780E43"/>
    <w:rsid w:val="00783BC4"/>
    <w:rsid w:val="007919D6"/>
    <w:rsid w:val="007A28F2"/>
    <w:rsid w:val="007A29EF"/>
    <w:rsid w:val="007C1B71"/>
    <w:rsid w:val="007D196C"/>
    <w:rsid w:val="007D5700"/>
    <w:rsid w:val="007E4F2C"/>
    <w:rsid w:val="007F1764"/>
    <w:rsid w:val="008065CC"/>
    <w:rsid w:val="0081775B"/>
    <w:rsid w:val="00823B60"/>
    <w:rsid w:val="008260AF"/>
    <w:rsid w:val="008368F2"/>
    <w:rsid w:val="00860C8D"/>
    <w:rsid w:val="00860FEA"/>
    <w:rsid w:val="008643C4"/>
    <w:rsid w:val="00864ACC"/>
    <w:rsid w:val="00866BC4"/>
    <w:rsid w:val="008737DC"/>
    <w:rsid w:val="00880B32"/>
    <w:rsid w:val="00880DDF"/>
    <w:rsid w:val="008918B8"/>
    <w:rsid w:val="00893F8D"/>
    <w:rsid w:val="008B416A"/>
    <w:rsid w:val="008C186B"/>
    <w:rsid w:val="008C1CD5"/>
    <w:rsid w:val="008D07D2"/>
    <w:rsid w:val="008D1120"/>
    <w:rsid w:val="008D1286"/>
    <w:rsid w:val="008D5485"/>
    <w:rsid w:val="008D5D0B"/>
    <w:rsid w:val="008D68B9"/>
    <w:rsid w:val="008E7C57"/>
    <w:rsid w:val="008F24EC"/>
    <w:rsid w:val="008F5A09"/>
    <w:rsid w:val="008F63E7"/>
    <w:rsid w:val="008F7914"/>
    <w:rsid w:val="0090107F"/>
    <w:rsid w:val="00901163"/>
    <w:rsid w:val="00901CCD"/>
    <w:rsid w:val="00905364"/>
    <w:rsid w:val="00915FD5"/>
    <w:rsid w:val="00923FD6"/>
    <w:rsid w:val="00932F46"/>
    <w:rsid w:val="00943D34"/>
    <w:rsid w:val="009500A6"/>
    <w:rsid w:val="009775A8"/>
    <w:rsid w:val="00985413"/>
    <w:rsid w:val="00994A65"/>
    <w:rsid w:val="009A64B0"/>
    <w:rsid w:val="009A6862"/>
    <w:rsid w:val="009A6E8F"/>
    <w:rsid w:val="009B2E41"/>
    <w:rsid w:val="009C5D5D"/>
    <w:rsid w:val="009E5B4B"/>
    <w:rsid w:val="009F57DE"/>
    <w:rsid w:val="00A0082E"/>
    <w:rsid w:val="00A02BC2"/>
    <w:rsid w:val="00A05752"/>
    <w:rsid w:val="00A15943"/>
    <w:rsid w:val="00A15A8C"/>
    <w:rsid w:val="00A21183"/>
    <w:rsid w:val="00A240B1"/>
    <w:rsid w:val="00A2719A"/>
    <w:rsid w:val="00A322E9"/>
    <w:rsid w:val="00A352A6"/>
    <w:rsid w:val="00A36832"/>
    <w:rsid w:val="00A46D11"/>
    <w:rsid w:val="00A47A59"/>
    <w:rsid w:val="00A51637"/>
    <w:rsid w:val="00A61401"/>
    <w:rsid w:val="00A65FA8"/>
    <w:rsid w:val="00A71700"/>
    <w:rsid w:val="00A7465D"/>
    <w:rsid w:val="00A752FC"/>
    <w:rsid w:val="00A77158"/>
    <w:rsid w:val="00A83EBE"/>
    <w:rsid w:val="00A8544E"/>
    <w:rsid w:val="00A86BF0"/>
    <w:rsid w:val="00A90E46"/>
    <w:rsid w:val="00A9183C"/>
    <w:rsid w:val="00A940F1"/>
    <w:rsid w:val="00A967B8"/>
    <w:rsid w:val="00AA54BE"/>
    <w:rsid w:val="00AB7EA5"/>
    <w:rsid w:val="00AC05CC"/>
    <w:rsid w:val="00AE2C07"/>
    <w:rsid w:val="00AE5A8F"/>
    <w:rsid w:val="00AE5B00"/>
    <w:rsid w:val="00AF0070"/>
    <w:rsid w:val="00AF122B"/>
    <w:rsid w:val="00AF484A"/>
    <w:rsid w:val="00B25DD7"/>
    <w:rsid w:val="00B351D4"/>
    <w:rsid w:val="00B35A63"/>
    <w:rsid w:val="00B43A8D"/>
    <w:rsid w:val="00B44E07"/>
    <w:rsid w:val="00B47DEA"/>
    <w:rsid w:val="00B54144"/>
    <w:rsid w:val="00B566A9"/>
    <w:rsid w:val="00B660A6"/>
    <w:rsid w:val="00B70779"/>
    <w:rsid w:val="00B735AB"/>
    <w:rsid w:val="00B75C63"/>
    <w:rsid w:val="00B80B8D"/>
    <w:rsid w:val="00B850D9"/>
    <w:rsid w:val="00B91FE5"/>
    <w:rsid w:val="00B92FEB"/>
    <w:rsid w:val="00BA115E"/>
    <w:rsid w:val="00BA16F3"/>
    <w:rsid w:val="00BA28FC"/>
    <w:rsid w:val="00BB7BCF"/>
    <w:rsid w:val="00BC0CF6"/>
    <w:rsid w:val="00BC4108"/>
    <w:rsid w:val="00BD7A13"/>
    <w:rsid w:val="00BE6F89"/>
    <w:rsid w:val="00BF03C0"/>
    <w:rsid w:val="00BF5884"/>
    <w:rsid w:val="00C02E62"/>
    <w:rsid w:val="00C042DC"/>
    <w:rsid w:val="00C072C2"/>
    <w:rsid w:val="00C121CA"/>
    <w:rsid w:val="00C17B82"/>
    <w:rsid w:val="00C3174C"/>
    <w:rsid w:val="00C35D55"/>
    <w:rsid w:val="00C53D62"/>
    <w:rsid w:val="00C55164"/>
    <w:rsid w:val="00C70878"/>
    <w:rsid w:val="00C86AE4"/>
    <w:rsid w:val="00C86EA0"/>
    <w:rsid w:val="00C93E7A"/>
    <w:rsid w:val="00CA5FC7"/>
    <w:rsid w:val="00CB17E4"/>
    <w:rsid w:val="00CB3D29"/>
    <w:rsid w:val="00CC5B51"/>
    <w:rsid w:val="00CD64EB"/>
    <w:rsid w:val="00CE1765"/>
    <w:rsid w:val="00CE1BC0"/>
    <w:rsid w:val="00CE2853"/>
    <w:rsid w:val="00CF590E"/>
    <w:rsid w:val="00D17240"/>
    <w:rsid w:val="00D20670"/>
    <w:rsid w:val="00D30CD1"/>
    <w:rsid w:val="00D35FBB"/>
    <w:rsid w:val="00D377DF"/>
    <w:rsid w:val="00D455DB"/>
    <w:rsid w:val="00D678BC"/>
    <w:rsid w:val="00DB02B4"/>
    <w:rsid w:val="00DB5E0C"/>
    <w:rsid w:val="00DB5F85"/>
    <w:rsid w:val="00DB752C"/>
    <w:rsid w:val="00DD5690"/>
    <w:rsid w:val="00DE4C05"/>
    <w:rsid w:val="00DE56A2"/>
    <w:rsid w:val="00DF7555"/>
    <w:rsid w:val="00E001C9"/>
    <w:rsid w:val="00E2048E"/>
    <w:rsid w:val="00E20E64"/>
    <w:rsid w:val="00E33885"/>
    <w:rsid w:val="00E4024B"/>
    <w:rsid w:val="00E411B7"/>
    <w:rsid w:val="00E415BA"/>
    <w:rsid w:val="00E43A7C"/>
    <w:rsid w:val="00E52432"/>
    <w:rsid w:val="00E5356B"/>
    <w:rsid w:val="00E60CEC"/>
    <w:rsid w:val="00E77D5B"/>
    <w:rsid w:val="00E8118F"/>
    <w:rsid w:val="00E8198A"/>
    <w:rsid w:val="00E83E0B"/>
    <w:rsid w:val="00E90B01"/>
    <w:rsid w:val="00E9539D"/>
    <w:rsid w:val="00EA0A8E"/>
    <w:rsid w:val="00EA473A"/>
    <w:rsid w:val="00EA7284"/>
    <w:rsid w:val="00EB5E5D"/>
    <w:rsid w:val="00EC4BB0"/>
    <w:rsid w:val="00ED7C5E"/>
    <w:rsid w:val="00EE3B45"/>
    <w:rsid w:val="00EF00F1"/>
    <w:rsid w:val="00EF2745"/>
    <w:rsid w:val="00EF3288"/>
    <w:rsid w:val="00F0367E"/>
    <w:rsid w:val="00F063CB"/>
    <w:rsid w:val="00F2433D"/>
    <w:rsid w:val="00F26806"/>
    <w:rsid w:val="00F31BDB"/>
    <w:rsid w:val="00F37CBE"/>
    <w:rsid w:val="00F42AE1"/>
    <w:rsid w:val="00F44E5B"/>
    <w:rsid w:val="00F44F17"/>
    <w:rsid w:val="00F534FF"/>
    <w:rsid w:val="00F605E5"/>
    <w:rsid w:val="00F627B7"/>
    <w:rsid w:val="00F64D9D"/>
    <w:rsid w:val="00F67A90"/>
    <w:rsid w:val="00F71216"/>
    <w:rsid w:val="00F766F1"/>
    <w:rsid w:val="00F86913"/>
    <w:rsid w:val="00F91438"/>
    <w:rsid w:val="00FA2748"/>
    <w:rsid w:val="00FA3CDB"/>
    <w:rsid w:val="00FA41F7"/>
    <w:rsid w:val="00FA5BA8"/>
    <w:rsid w:val="00FB4B02"/>
    <w:rsid w:val="00FC42FB"/>
    <w:rsid w:val="00FD0A0C"/>
    <w:rsid w:val="00FD6742"/>
    <w:rsid w:val="00FE2580"/>
    <w:rsid w:val="00FE4479"/>
    <w:rsid w:val="00FF281F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59B44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List Number 2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7DE"/>
    <w:rPr>
      <w:sz w:val="24"/>
      <w:szCs w:val="24"/>
    </w:rPr>
  </w:style>
  <w:style w:type="paragraph" w:styleId="10">
    <w:name w:val="heading 1"/>
    <w:aliases w:val="111,Заголовок параграфа (1.),Section,Section Heading,level2 hdg"/>
    <w:basedOn w:val="a"/>
    <w:next w:val="a"/>
    <w:autoRedefine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autoRedefine/>
    <w:uiPriority w:val="99"/>
    <w:qFormat/>
    <w:rsid w:val="00DF7555"/>
    <w:pPr>
      <w:keepNext/>
      <w:widowControl w:val="0"/>
      <w:spacing w:before="120" w:after="120"/>
      <w:jc w:val="both"/>
      <w:outlineLvl w:val="1"/>
    </w:pPr>
    <w:rPr>
      <w:rFonts w:ascii="Garamond" w:hAnsi="Garamond"/>
      <w:b/>
      <w:sz w:val="28"/>
      <w:szCs w:val="28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List Number 2"/>
    <w:basedOn w:val="a"/>
    <w:uiPriority w:val="99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semiHidden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5">
    <w:name w:val="footnote reference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1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6">
    <w:name w:val="Body Text Indent"/>
    <w:basedOn w:val="a"/>
    <w:rsid w:val="003376F2"/>
    <w:pPr>
      <w:spacing w:after="120"/>
      <w:ind w:left="283"/>
    </w:pPr>
  </w:style>
  <w:style w:type="paragraph" w:styleId="22">
    <w:name w:val="Body Text 2"/>
    <w:basedOn w:val="a"/>
    <w:rsid w:val="00FB4B02"/>
    <w:rPr>
      <w:sz w:val="20"/>
    </w:rPr>
  </w:style>
  <w:style w:type="paragraph" w:customStyle="1" w:styleId="a7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rsid w:val="00FB4B02"/>
    <w:pPr>
      <w:spacing w:after="120"/>
    </w:pPr>
    <w:rPr>
      <w:sz w:val="16"/>
      <w:szCs w:val="16"/>
    </w:rPr>
  </w:style>
  <w:style w:type="paragraph" w:styleId="a8">
    <w:name w:val="Body Text"/>
    <w:aliases w:val="body text"/>
    <w:basedOn w:val="a"/>
    <w:link w:val="a9"/>
    <w:rsid w:val="00FB4B02"/>
    <w:pPr>
      <w:jc w:val="both"/>
    </w:pPr>
    <w:rPr>
      <w:szCs w:val="20"/>
    </w:rPr>
  </w:style>
  <w:style w:type="character" w:customStyle="1" w:styleId="a9">
    <w:name w:val="Основной текст Знак"/>
    <w:aliases w:val="body text Знак"/>
    <w:link w:val="a8"/>
    <w:rsid w:val="00FB4B02"/>
    <w:rPr>
      <w:sz w:val="24"/>
      <w:lang w:val="ru-RU" w:eastAsia="ru-RU" w:bidi="ar-SA"/>
    </w:rPr>
  </w:style>
  <w:style w:type="paragraph" w:styleId="aa">
    <w:name w:val="footer"/>
    <w:basedOn w:val="a"/>
    <w:rsid w:val="00FB4B0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B4B02"/>
  </w:style>
  <w:style w:type="paragraph" w:styleId="ac">
    <w:name w:val="header"/>
    <w:basedOn w:val="a"/>
    <w:link w:val="ad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1">
    <w:name w:val="Заголовок 1. Предложения"/>
    <w:aliases w:val="связанные"/>
    <w:basedOn w:val="10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e">
    <w:name w:val="Hyperlink"/>
    <w:uiPriority w:val="99"/>
    <w:rsid w:val="00FB4B02"/>
    <w:rPr>
      <w:color w:val="0000FF"/>
      <w:u w:val="single"/>
    </w:rPr>
  </w:style>
  <w:style w:type="paragraph" w:customStyle="1" w:styleId="af">
    <w:name w:val="Название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2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0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1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2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1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3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2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3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2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4"/>
    <w:next w:val="10"/>
    <w:rsid w:val="00FB4B02"/>
    <w:rPr>
      <w:rFonts w:ascii="Arial" w:hAnsi="Arial"/>
      <w:b w:val="0"/>
      <w:i/>
      <w:caps w:val="0"/>
      <w:sz w:val="28"/>
    </w:rPr>
  </w:style>
  <w:style w:type="paragraph" w:styleId="af4">
    <w:name w:val="Subtitle"/>
    <w:basedOn w:val="af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3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3">
    <w:name w:val="Заголовок оглавления1"/>
    <w:basedOn w:val="10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4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3"/>
    <w:rsid w:val="00FB4B02"/>
    <w:pPr>
      <w:keepLines/>
      <w:spacing w:before="120"/>
    </w:pPr>
    <w:rPr>
      <w:rFonts w:cs="Times New Roman"/>
    </w:rPr>
  </w:style>
  <w:style w:type="paragraph" w:customStyle="1" w:styleId="15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5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4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6">
    <w:name w:val="Emphasis"/>
    <w:qFormat/>
    <w:rsid w:val="00FB4B02"/>
    <w:rPr>
      <w:i/>
      <w:iCs/>
    </w:rPr>
  </w:style>
  <w:style w:type="paragraph" w:styleId="af7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3">
    <w:name w:val="Стиль2"/>
    <w:basedOn w:val="20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6">
    <w:name w:val="Стиль1"/>
    <w:basedOn w:val="a"/>
    <w:rsid w:val="00FB4B02"/>
    <w:pPr>
      <w:spacing w:before="120"/>
      <w:jc w:val="both"/>
    </w:pPr>
  </w:style>
  <w:style w:type="paragraph" w:customStyle="1" w:styleId="af8">
    <w:name w:val="Юристы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Normal (Web)"/>
    <w:basedOn w:val="a"/>
    <w:rsid w:val="00FB4B02"/>
    <w:pPr>
      <w:spacing w:before="100" w:beforeAutospacing="1" w:after="100" w:afterAutospacing="1"/>
    </w:pPr>
  </w:style>
  <w:style w:type="paragraph" w:customStyle="1" w:styleId="17">
    <w:name w:val="1"/>
    <w:basedOn w:val="a"/>
    <w:next w:val="af9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a">
    <w:name w:val="Юристы Знак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b">
    <w:name w:val="Отчет"/>
    <w:basedOn w:val="a"/>
    <w:rsid w:val="00FB4B02"/>
    <w:pPr>
      <w:ind w:firstLine="567"/>
      <w:jc w:val="both"/>
    </w:pPr>
  </w:style>
  <w:style w:type="paragraph" w:customStyle="1" w:styleId="18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8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c">
    <w:name w:val="Список с точкой"/>
    <w:basedOn w:val="a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d">
    <w:name w:val="List"/>
    <w:basedOn w:val="a"/>
    <w:rsid w:val="00FB4B02"/>
    <w:pPr>
      <w:ind w:left="283" w:hanging="283"/>
    </w:pPr>
  </w:style>
  <w:style w:type="paragraph" w:customStyle="1" w:styleId="19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f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0">
    <w:name w:val="Strong"/>
    <w:qFormat/>
    <w:rsid w:val="00FB4B02"/>
    <w:rPr>
      <w:b/>
      <w:bCs/>
    </w:rPr>
  </w:style>
  <w:style w:type="paragraph" w:styleId="aff1">
    <w:name w:val="List Paragraph"/>
    <w:basedOn w:val="a"/>
    <w:link w:val="aff2"/>
    <w:uiPriority w:val="34"/>
    <w:qFormat/>
    <w:rsid w:val="006266A8"/>
    <w:pPr>
      <w:ind w:left="720"/>
      <w:contextualSpacing/>
    </w:pPr>
  </w:style>
  <w:style w:type="paragraph" w:styleId="aff3">
    <w:name w:val="TOC Heading"/>
    <w:basedOn w:val="10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4">
    <w:name w:val="Balloon Text"/>
    <w:basedOn w:val="a"/>
    <w:link w:val="aff5"/>
    <w:rsid w:val="00D20670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rsid w:val="00D20670"/>
    <w:rPr>
      <w:rFonts w:ascii="Segoe UI" w:hAnsi="Segoe UI" w:cs="Segoe UI"/>
      <w:sz w:val="18"/>
      <w:szCs w:val="18"/>
    </w:rPr>
  </w:style>
  <w:style w:type="character" w:styleId="aff6">
    <w:name w:val="annotation reference"/>
    <w:uiPriority w:val="99"/>
    <w:unhideWhenUsed/>
    <w:rsid w:val="006C583D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6C583D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6C583D"/>
  </w:style>
  <w:style w:type="character" w:customStyle="1" w:styleId="aff2">
    <w:name w:val="Абзац списка Знак"/>
    <w:link w:val="aff1"/>
    <w:uiPriority w:val="34"/>
    <w:rsid w:val="004F7D53"/>
    <w:rPr>
      <w:sz w:val="24"/>
      <w:szCs w:val="24"/>
    </w:rPr>
  </w:style>
  <w:style w:type="table" w:styleId="aff9">
    <w:name w:val="Table Grid"/>
    <w:basedOn w:val="a1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sid w:val="007E4F2C"/>
    <w:rPr>
      <w:b/>
      <w:bCs/>
      <w:iCs/>
    </w:rPr>
  </w:style>
  <w:style w:type="paragraph" w:styleId="affa">
    <w:name w:val="annotation subject"/>
    <w:basedOn w:val="aff7"/>
    <w:next w:val="aff7"/>
    <w:link w:val="affb"/>
    <w:rsid w:val="00943D34"/>
    <w:rPr>
      <w:b/>
      <w:bCs/>
    </w:rPr>
  </w:style>
  <w:style w:type="character" w:customStyle="1" w:styleId="affb">
    <w:name w:val="Тема примечания Знак"/>
    <w:basedOn w:val="aff8"/>
    <w:link w:val="affa"/>
    <w:rsid w:val="00943D34"/>
    <w:rPr>
      <w:b/>
      <w:bCs/>
    </w:rPr>
  </w:style>
  <w:style w:type="character" w:styleId="affc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046843"/>
    <w:rPr>
      <w:sz w:val="22"/>
      <w:lang w:eastAsia="en-US"/>
    </w:rPr>
  </w:style>
  <w:style w:type="paragraph" w:customStyle="1" w:styleId="1">
    <w:name w:val="Маркированный 1"/>
    <w:basedOn w:val="a"/>
    <w:uiPriority w:val="99"/>
    <w:rsid w:val="00A940F1"/>
    <w:pPr>
      <w:numPr>
        <w:numId w:val="10"/>
      </w:numPr>
      <w:spacing w:before="120"/>
      <w:jc w:val="both"/>
    </w:pPr>
    <w:rPr>
      <w:rFonts w:ascii="Arial" w:hAnsi="Arial"/>
      <w:color w:val="000000"/>
      <w:sz w:val="22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F75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94D670-3E21-4C61-83BF-5D932C58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868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НП «АТС»</vt:lpstr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НП «АТС»</dc:title>
  <dc:subject/>
  <dc:creator>abo</dc:creator>
  <cp:keywords/>
  <cp:lastModifiedBy>Пряхина Ирина Игоревна</cp:lastModifiedBy>
  <cp:revision>21</cp:revision>
  <cp:lastPrinted>2017-11-01T12:38:00Z</cp:lastPrinted>
  <dcterms:created xsi:type="dcterms:W3CDTF">2023-01-30T07:02:00Z</dcterms:created>
  <dcterms:modified xsi:type="dcterms:W3CDTF">2023-02-26T19:28:00Z</dcterms:modified>
</cp:coreProperties>
</file>