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85E55" w14:textId="6E9EDD23" w:rsidR="00DE3A81" w:rsidRDefault="00DE3A81" w:rsidP="00DE3A81">
      <w:pPr>
        <w:widowControl w:val="0"/>
        <w:ind w:left="57"/>
        <w:jc w:val="right"/>
        <w:rPr>
          <w:rFonts w:eastAsia="Times New Roman"/>
        </w:rPr>
      </w:pPr>
      <w:r>
        <w:rPr>
          <w:rFonts w:eastAsia="Times New Roman"/>
          <w:caps/>
        </w:rPr>
        <w:t>Приложение</w:t>
      </w:r>
      <w:r>
        <w:rPr>
          <w:rFonts w:eastAsia="Times New Roman"/>
        </w:rPr>
        <w:t xml:space="preserve"> № 1.1</w:t>
      </w:r>
      <w:r>
        <w:rPr>
          <w:rFonts w:eastAsia="Times New Roman"/>
        </w:rPr>
        <w:t>1</w:t>
      </w:r>
      <w:bookmarkStart w:id="0" w:name="_GoBack"/>
      <w:bookmarkEnd w:id="0"/>
    </w:p>
    <w:p w14:paraId="7407A2DD" w14:textId="77777777" w:rsidR="00DE3A81" w:rsidRDefault="00DE3A81" w:rsidP="00DE3A81">
      <w:pPr>
        <w:widowControl w:val="0"/>
        <w:ind w:left="57"/>
        <w:jc w:val="right"/>
        <w:rPr>
          <w:rFonts w:eastAsia="Times New Roman"/>
        </w:rPr>
      </w:pPr>
      <w:r>
        <w:rPr>
          <w:rFonts w:eastAsia="Times New Roman"/>
        </w:rPr>
        <w:t xml:space="preserve">к Протоколу № 3/2021 заседания Наблюдательного совета </w:t>
      </w:r>
    </w:p>
    <w:p w14:paraId="63FFFD22" w14:textId="77777777" w:rsidR="00DE3A81" w:rsidRDefault="00DE3A81" w:rsidP="00DE3A81">
      <w:pPr>
        <w:widowControl w:val="0"/>
        <w:spacing w:line="276" w:lineRule="auto"/>
        <w:jc w:val="right"/>
        <w:rPr>
          <w:rFonts w:ascii="Garamond" w:eastAsia="Times New Roman" w:hAnsi="Garamond"/>
          <w:b/>
          <w:sz w:val="28"/>
          <w:szCs w:val="28"/>
        </w:rPr>
      </w:pPr>
      <w:r>
        <w:rPr>
          <w:rFonts w:eastAsia="Times New Roman"/>
        </w:rPr>
        <w:t>Ассоциации «НП Совет рынка» от 26 января 2021 года.</w:t>
      </w:r>
    </w:p>
    <w:p w14:paraId="302A8716" w14:textId="77777777" w:rsidR="00DE3A81" w:rsidRDefault="00DE3A81" w:rsidP="00AA1E28">
      <w:pPr>
        <w:ind w:right="-10"/>
        <w:rPr>
          <w:rFonts w:ascii="Garamond" w:hAnsi="Garamond" w:cs="Arial"/>
          <w:b/>
          <w:sz w:val="28"/>
          <w:szCs w:val="28"/>
        </w:rPr>
      </w:pPr>
    </w:p>
    <w:p w14:paraId="7F0640F6" w14:textId="77777777" w:rsidR="00AA1E28" w:rsidRDefault="00AA1E28" w:rsidP="00AA1E28">
      <w:pPr>
        <w:ind w:right="-1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VI.4. </w:t>
      </w:r>
      <w:r w:rsidRPr="002C7565">
        <w:rPr>
          <w:rFonts w:ascii="Garamond" w:hAnsi="Garamond" w:cs="Arial"/>
          <w:b/>
          <w:sz w:val="28"/>
          <w:szCs w:val="28"/>
        </w:rPr>
        <w:t xml:space="preserve">Изменения, связанные с </w:t>
      </w:r>
      <w:r>
        <w:rPr>
          <w:rFonts w:ascii="Garamond" w:hAnsi="Garamond" w:cs="Arial"/>
          <w:b/>
          <w:sz w:val="28"/>
          <w:szCs w:val="28"/>
        </w:rPr>
        <w:t>уточнением требований к предоставляемым документам для целей изменения базовых диапазонов регулирования реактивной мощности</w:t>
      </w:r>
    </w:p>
    <w:p w14:paraId="2DF7213E" w14:textId="77777777" w:rsidR="00AA1E28" w:rsidRDefault="00AA1E28" w:rsidP="00AA1E28">
      <w:pPr>
        <w:ind w:right="-10"/>
        <w:jc w:val="both"/>
        <w:rPr>
          <w:rFonts w:ascii="Garamond" w:hAnsi="Garamond" w:cs="Arial"/>
          <w:b/>
          <w:sz w:val="28"/>
          <w:szCs w:val="28"/>
        </w:rPr>
      </w:pPr>
    </w:p>
    <w:p w14:paraId="7CC3155F" w14:textId="6B8029F0" w:rsidR="00AA1E28" w:rsidRPr="00C6684A" w:rsidRDefault="00AA1E28" w:rsidP="00AA1E28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 xml:space="preserve">Приложение № </w:t>
      </w:r>
      <w:r w:rsidR="00310D48">
        <w:rPr>
          <w:rFonts w:ascii="Garamond" w:hAnsi="Garamond" w:cs="Arial"/>
          <w:b/>
          <w:sz w:val="28"/>
          <w:szCs w:val="28"/>
        </w:rPr>
        <w:t>1.11</w:t>
      </w:r>
    </w:p>
    <w:p w14:paraId="56F264CD" w14:textId="77777777" w:rsidR="008E726A" w:rsidRPr="008E726A" w:rsidRDefault="008E726A" w:rsidP="00A00C50">
      <w:pPr>
        <w:ind w:right="-10"/>
        <w:jc w:val="right"/>
        <w:rPr>
          <w:rFonts w:ascii="Garamond" w:hAnsi="Garamond"/>
          <w:b/>
          <w:sz w:val="28"/>
          <w:szCs w:val="28"/>
        </w:rPr>
      </w:pPr>
    </w:p>
    <w:p w14:paraId="2C11F3F3" w14:textId="381022E9" w:rsidR="00586932" w:rsidRDefault="00A00C50" w:rsidP="00143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="Garamond"/>
          <w:bCs/>
        </w:rPr>
      </w:pPr>
      <w:r w:rsidRPr="002C7565">
        <w:rPr>
          <w:rFonts w:ascii="Garamond" w:eastAsia="Times New Roman" w:hAnsi="Garamond" w:cs="Garamond"/>
          <w:b/>
          <w:bCs/>
        </w:rPr>
        <w:t>Инициатор:</w:t>
      </w:r>
      <w:r>
        <w:rPr>
          <w:rFonts w:ascii="Garamond" w:eastAsia="Times New Roman" w:hAnsi="Garamond" w:cs="Garamond"/>
          <w:b/>
          <w:bCs/>
        </w:rPr>
        <w:t xml:space="preserve"> </w:t>
      </w:r>
      <w:r w:rsidR="00D03BBF">
        <w:rPr>
          <w:rFonts w:ascii="Garamond" w:eastAsia="Times New Roman" w:hAnsi="Garamond" w:cs="Garamond"/>
          <w:bCs/>
        </w:rPr>
        <w:t>член Наблюдательного с</w:t>
      </w:r>
      <w:r w:rsidR="00586932" w:rsidRPr="00586932">
        <w:rPr>
          <w:rFonts w:ascii="Garamond" w:eastAsia="Times New Roman" w:hAnsi="Garamond" w:cs="Garamond"/>
          <w:bCs/>
        </w:rPr>
        <w:t xml:space="preserve">овета Ассоциации «НП Совет рынка» </w:t>
      </w:r>
      <w:r w:rsidR="00D03BBF" w:rsidRPr="00586932">
        <w:rPr>
          <w:rFonts w:ascii="Garamond" w:eastAsia="Times New Roman" w:hAnsi="Garamond" w:cs="Garamond"/>
          <w:bCs/>
        </w:rPr>
        <w:t>С.А.</w:t>
      </w:r>
      <w:r w:rsidR="00D03BBF">
        <w:rPr>
          <w:rFonts w:ascii="Garamond" w:eastAsia="Times New Roman" w:hAnsi="Garamond" w:cs="Garamond"/>
          <w:bCs/>
        </w:rPr>
        <w:t xml:space="preserve"> Киров.</w:t>
      </w:r>
    </w:p>
    <w:p w14:paraId="47C88532" w14:textId="71B08C99" w:rsidR="00EC4D86" w:rsidRPr="00EC4D86" w:rsidRDefault="00A00C50" w:rsidP="00EC4D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2C7565">
        <w:rPr>
          <w:rFonts w:ascii="Garamond" w:hAnsi="Garamond"/>
          <w:b/>
        </w:rPr>
        <w:t>Обоснование:</w:t>
      </w:r>
      <w:r w:rsidRPr="002C7565">
        <w:rPr>
          <w:rFonts w:ascii="Garamond" w:hAnsi="Garamond"/>
        </w:rPr>
        <w:t xml:space="preserve"> </w:t>
      </w:r>
      <w:r w:rsidR="00F84A26">
        <w:rPr>
          <w:rFonts w:ascii="Garamond" w:hAnsi="Garamond"/>
        </w:rPr>
        <w:t>в</w:t>
      </w:r>
      <w:r w:rsidR="00EC4D86" w:rsidRPr="00EC4D86">
        <w:rPr>
          <w:rFonts w:ascii="Garamond" w:hAnsi="Garamond"/>
        </w:rPr>
        <w:t xml:space="preserve"> действующей редакции</w:t>
      </w:r>
      <w:r w:rsidR="00107DFA">
        <w:rPr>
          <w:rFonts w:ascii="Garamond" w:hAnsi="Garamond"/>
        </w:rPr>
        <w:t xml:space="preserve"> регламентов</w:t>
      </w:r>
      <w:r w:rsidR="00EC4D86" w:rsidRPr="00EC4D86">
        <w:rPr>
          <w:rFonts w:ascii="Garamond" w:hAnsi="Garamond"/>
        </w:rPr>
        <w:t xml:space="preserve"> не указаны сроки после проведен</w:t>
      </w:r>
      <w:r w:rsidR="00277575">
        <w:rPr>
          <w:rFonts w:ascii="Garamond" w:hAnsi="Garamond"/>
        </w:rPr>
        <w:t>ия тепловых испытаний, в течение</w:t>
      </w:r>
      <w:r w:rsidR="00EC4D86" w:rsidRPr="00EC4D86">
        <w:rPr>
          <w:rFonts w:ascii="Garamond" w:hAnsi="Garamond"/>
        </w:rPr>
        <w:t xml:space="preserve"> которых результаты могут быть представлены в Системный оператор.</w:t>
      </w:r>
      <w:r w:rsidR="00F84A26">
        <w:rPr>
          <w:rFonts w:ascii="Garamond" w:hAnsi="Garamond"/>
        </w:rPr>
        <w:t xml:space="preserve"> </w:t>
      </w:r>
      <w:r w:rsidR="00E90311">
        <w:rPr>
          <w:rFonts w:ascii="Garamond" w:hAnsi="Garamond"/>
        </w:rPr>
        <w:t>Предлагается</w:t>
      </w:r>
      <w:r w:rsidR="00EC4D86">
        <w:rPr>
          <w:rFonts w:ascii="Garamond" w:hAnsi="Garamond"/>
        </w:rPr>
        <w:t xml:space="preserve"> </w:t>
      </w:r>
      <w:r w:rsidR="00F84A26">
        <w:rPr>
          <w:rFonts w:ascii="Garamond" w:hAnsi="Garamond"/>
        </w:rPr>
        <w:t>у</w:t>
      </w:r>
      <w:r w:rsidR="00EC4D86" w:rsidRPr="00EC4D86">
        <w:rPr>
          <w:rFonts w:ascii="Garamond" w:hAnsi="Garamond"/>
        </w:rPr>
        <w:t xml:space="preserve">точнить срок предоставления тепловых испытаний </w:t>
      </w:r>
      <w:proofErr w:type="gramStart"/>
      <w:r w:rsidR="00EC4D86" w:rsidRPr="00EC4D86">
        <w:rPr>
          <w:rFonts w:ascii="Garamond" w:hAnsi="Garamond"/>
        </w:rPr>
        <w:t>в СО</w:t>
      </w:r>
      <w:proofErr w:type="gramEnd"/>
      <w:r w:rsidR="00EC4D86">
        <w:rPr>
          <w:rFonts w:ascii="Garamond" w:hAnsi="Garamond"/>
        </w:rPr>
        <w:t xml:space="preserve"> </w:t>
      </w:r>
      <w:r w:rsidR="00277575" w:rsidRPr="00D3615B">
        <w:rPr>
          <w:rFonts w:ascii="Garamond" w:hAnsi="Garamond"/>
          <w:color w:val="000000" w:themeColor="text1"/>
          <w:szCs w:val="22"/>
        </w:rPr>
        <w:t>–</w:t>
      </w:r>
      <w:r w:rsidR="00EC4D86" w:rsidRPr="00EC4D86">
        <w:rPr>
          <w:rFonts w:ascii="Garamond" w:hAnsi="Garamond"/>
        </w:rPr>
        <w:t xml:space="preserve"> не позднее чем 360 суток с момент</w:t>
      </w:r>
      <w:r w:rsidR="00E97433">
        <w:rPr>
          <w:rFonts w:ascii="Garamond" w:hAnsi="Garamond"/>
        </w:rPr>
        <w:t>а</w:t>
      </w:r>
      <w:r w:rsidR="00EC4D86" w:rsidRPr="00EC4D86">
        <w:rPr>
          <w:rFonts w:ascii="Garamond" w:hAnsi="Garamond"/>
        </w:rPr>
        <w:t xml:space="preserve"> проведения испытаний.</w:t>
      </w:r>
    </w:p>
    <w:p w14:paraId="72AAB9C9" w14:textId="77777777" w:rsidR="00A00C50" w:rsidRPr="00BE4679" w:rsidRDefault="00A00C50" w:rsidP="00A00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="Garamond"/>
          <w:b/>
          <w:bCs/>
        </w:rPr>
      </w:pPr>
      <w:r w:rsidRPr="00F3087E">
        <w:rPr>
          <w:rFonts w:ascii="Garamond" w:eastAsia="Times New Roman" w:hAnsi="Garamond" w:cs="Garamond"/>
          <w:b/>
          <w:bCs/>
        </w:rPr>
        <w:t xml:space="preserve">Дата вступления в силу: </w:t>
      </w:r>
      <w:r w:rsidR="00107DFA">
        <w:rPr>
          <w:rFonts w:ascii="Garamond" w:eastAsia="Times New Roman" w:hAnsi="Garamond" w:cs="Garamond"/>
          <w:bCs/>
        </w:rPr>
        <w:t>1 февраля</w:t>
      </w:r>
      <w:r w:rsidR="00F84A26">
        <w:rPr>
          <w:rFonts w:ascii="Garamond" w:eastAsia="Times New Roman" w:hAnsi="Garamond" w:cs="Garamond"/>
          <w:bCs/>
        </w:rPr>
        <w:t xml:space="preserve"> 2021</w:t>
      </w:r>
      <w:r w:rsidRPr="00F3087E">
        <w:rPr>
          <w:rFonts w:ascii="Garamond" w:eastAsia="Times New Roman" w:hAnsi="Garamond" w:cs="Garamond"/>
          <w:bCs/>
        </w:rPr>
        <w:t xml:space="preserve"> года.</w:t>
      </w:r>
    </w:p>
    <w:p w14:paraId="1AA64012" w14:textId="77777777" w:rsidR="00A00C50" w:rsidRPr="00426B60" w:rsidRDefault="00A00C50" w:rsidP="00A00C50">
      <w:pPr>
        <w:outlineLvl w:val="0"/>
        <w:rPr>
          <w:rFonts w:ascii="Garamond" w:hAnsi="Garamond"/>
          <w:bCs/>
          <w:iCs/>
        </w:rPr>
      </w:pPr>
    </w:p>
    <w:p w14:paraId="76F4A350" w14:textId="77777777" w:rsidR="00A00C50" w:rsidRDefault="00A00C50" w:rsidP="00471FED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A50C4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 w:rsidR="00177DF9">
        <w:rPr>
          <w:rFonts w:ascii="Garamond" w:hAnsi="Garamond"/>
          <w:b/>
          <w:sz w:val="26"/>
          <w:szCs w:val="26"/>
        </w:rPr>
        <w:t>ОПРЕДЕЛЕНИЯ ОБЪЕМОВ ФАКТИЧЕСКИ ПОСТАВЛЕННОЙ НА ОПТОВЫЙ РЫНОК МОЩНОСТИ</w:t>
      </w:r>
      <w:r w:rsidRPr="00A50C44">
        <w:rPr>
          <w:rFonts w:ascii="Garamond" w:hAnsi="Garamond"/>
          <w:b/>
          <w:sz w:val="26"/>
          <w:szCs w:val="26"/>
        </w:rPr>
        <w:t xml:space="preserve"> (Приложение № 1</w:t>
      </w:r>
      <w:r w:rsidR="00177DF9">
        <w:rPr>
          <w:rFonts w:ascii="Garamond" w:hAnsi="Garamond"/>
          <w:b/>
          <w:sz w:val="26"/>
          <w:szCs w:val="26"/>
        </w:rPr>
        <w:t>3</w:t>
      </w:r>
      <w:r w:rsidRPr="00A50C44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222A3DC8" w14:textId="77777777" w:rsidR="00A00C50" w:rsidRPr="00B43909" w:rsidRDefault="00A00C50" w:rsidP="00A00C50">
      <w:pPr>
        <w:tabs>
          <w:tab w:val="left" w:pos="709"/>
        </w:tabs>
        <w:ind w:firstLine="287"/>
        <w:jc w:val="both"/>
        <w:rPr>
          <w:rFonts w:ascii="Garamond" w:hAnsi="Garamond"/>
          <w:b/>
        </w:rPr>
      </w:pPr>
    </w:p>
    <w:tbl>
      <w:tblPr>
        <w:tblW w:w="50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2"/>
        <w:gridCol w:w="7411"/>
        <w:gridCol w:w="6804"/>
      </w:tblGrid>
      <w:tr w:rsidR="00A00C50" w:rsidRPr="008E726A" w14:paraId="6677BC86" w14:textId="77777777" w:rsidTr="0047576A">
        <w:trPr>
          <w:trHeight w:val="450"/>
        </w:trPr>
        <w:tc>
          <w:tcPr>
            <w:tcW w:w="270" w:type="pct"/>
            <w:tcMar>
              <w:left w:w="57" w:type="dxa"/>
              <w:right w:w="57" w:type="dxa"/>
            </w:tcMar>
            <w:vAlign w:val="center"/>
          </w:tcPr>
          <w:p w14:paraId="4990F61A" w14:textId="77777777" w:rsidR="00A00C50" w:rsidRPr="008E726A" w:rsidRDefault="00A00C50" w:rsidP="00550DF1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8E726A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№</w:t>
            </w:r>
          </w:p>
          <w:p w14:paraId="593E121E" w14:textId="77777777" w:rsidR="00A00C50" w:rsidRPr="008E726A" w:rsidRDefault="00A00C50" w:rsidP="00550DF1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8E726A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466" w:type="pct"/>
            <w:vAlign w:val="center"/>
          </w:tcPr>
          <w:p w14:paraId="3D49FE76" w14:textId="77777777" w:rsidR="00A00C50" w:rsidRPr="008E726A" w:rsidRDefault="00A00C50" w:rsidP="00550DF1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8E726A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AB3CE7B" w14:textId="77777777" w:rsidR="00A00C50" w:rsidRPr="008E726A" w:rsidRDefault="00A00C50" w:rsidP="00550DF1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8E726A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264" w:type="pct"/>
            <w:vAlign w:val="center"/>
          </w:tcPr>
          <w:p w14:paraId="3F0527D0" w14:textId="77777777" w:rsidR="00A00C50" w:rsidRPr="008E726A" w:rsidRDefault="00A00C50" w:rsidP="00550DF1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8E726A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43D53C51" w14:textId="77777777" w:rsidR="00A00C50" w:rsidRPr="008E726A" w:rsidRDefault="00A00C50" w:rsidP="00550DF1">
            <w:pPr>
              <w:jc w:val="center"/>
              <w:rPr>
                <w:rFonts w:ascii="Garamond" w:eastAsia="Times New Roman" w:hAnsi="Garamond" w:cs="Garamond"/>
                <w:sz w:val="22"/>
                <w:szCs w:val="22"/>
              </w:rPr>
            </w:pPr>
            <w:r w:rsidRPr="008E726A">
              <w:rPr>
                <w:rFonts w:ascii="Garamond" w:eastAsia="Times New Roman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177DF9" w:rsidRPr="008E726A" w14:paraId="33474781" w14:textId="77777777" w:rsidTr="0047576A">
        <w:trPr>
          <w:trHeight w:val="450"/>
        </w:trPr>
        <w:tc>
          <w:tcPr>
            <w:tcW w:w="270" w:type="pct"/>
            <w:tcMar>
              <w:left w:w="57" w:type="dxa"/>
              <w:right w:w="57" w:type="dxa"/>
            </w:tcMar>
            <w:vAlign w:val="center"/>
          </w:tcPr>
          <w:p w14:paraId="1A885D5D" w14:textId="77777777" w:rsidR="00177DF9" w:rsidRPr="008E726A" w:rsidRDefault="00177DF9" w:rsidP="00177DF9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2466" w:type="pct"/>
          </w:tcPr>
          <w:p w14:paraId="7C7275D9" w14:textId="77777777" w:rsidR="00143FEB" w:rsidRPr="00143FEB" w:rsidRDefault="00143FEB" w:rsidP="007A6A8C">
            <w:pPr>
              <w:pStyle w:val="3"/>
              <w:widowControl w:val="0"/>
              <w:numPr>
                <w:ilvl w:val="0"/>
                <w:numId w:val="0"/>
              </w:numPr>
              <w:rPr>
                <w:rFonts w:ascii="Garamond" w:hAnsi="Garamond"/>
                <w:color w:val="000000" w:themeColor="text1"/>
                <w:szCs w:val="22"/>
              </w:rPr>
            </w:pPr>
            <w:bookmarkStart w:id="1" w:name="_Toc20495286"/>
            <w:r w:rsidRPr="00143FEB">
              <w:rPr>
                <w:rFonts w:ascii="Garamond" w:hAnsi="Garamond"/>
                <w:color w:val="000000" w:themeColor="text1"/>
                <w:szCs w:val="22"/>
              </w:rPr>
              <w:t>Участие в предоставлении диапазона регулирования реактивной мощности</w:t>
            </w:r>
            <w:bookmarkEnd w:id="1"/>
          </w:p>
          <w:p w14:paraId="4E200775" w14:textId="77777777" w:rsidR="00143FEB" w:rsidRPr="00143FEB" w:rsidRDefault="00143FEB" w:rsidP="007A6A8C">
            <w:pPr>
              <w:pStyle w:val="3"/>
              <w:widowControl w:val="0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bookmarkStart w:id="2" w:name="_Toc439083997"/>
            <w:bookmarkStart w:id="3" w:name="_Toc491710332"/>
            <w:bookmarkStart w:id="4" w:name="_Toc497986160"/>
            <w:bookmarkStart w:id="5" w:name="_Toc502318584"/>
            <w:bookmarkStart w:id="6" w:name="_Toc507079722"/>
            <w:bookmarkStart w:id="7" w:name="_Toc534811481"/>
            <w:bookmarkStart w:id="8" w:name="_Toc15650338"/>
            <w:bookmarkStart w:id="9" w:name="_Toc20495287"/>
            <w:r w:rsidRPr="00143FEB">
              <w:rPr>
                <w:rFonts w:ascii="Garamond" w:hAnsi="Garamond"/>
                <w:b w:val="0"/>
                <w:color w:val="000000" w:themeColor="text1"/>
                <w:szCs w:val="22"/>
              </w:rPr>
              <w:t>Диапазон регулирования реактивной электрической мощности генерирующего оборудования каждого участника оптового рынка определяется в соответствии с Техническими требованиями.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  <w:p w14:paraId="3DCAF6A2" w14:textId="77777777" w:rsidR="00177DF9" w:rsidRDefault="00177DF9" w:rsidP="007A6A8C">
            <w:pPr>
              <w:pStyle w:val="3"/>
              <w:widowControl w:val="0"/>
              <w:numPr>
                <w:ilvl w:val="0"/>
                <w:numId w:val="0"/>
              </w:numPr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r>
              <w:rPr>
                <w:rFonts w:ascii="Garamond" w:hAnsi="Garamond"/>
                <w:b w:val="0"/>
                <w:color w:val="000000" w:themeColor="text1"/>
                <w:szCs w:val="22"/>
              </w:rPr>
              <w:t>…</w:t>
            </w:r>
          </w:p>
          <w:p w14:paraId="2E648A9B" w14:textId="77777777" w:rsidR="0047576A" w:rsidRPr="00D3615B" w:rsidRDefault="00177DF9" w:rsidP="007A6A8C">
            <w:pPr>
              <w:pStyle w:val="3"/>
              <w:widowControl w:val="0"/>
              <w:numPr>
                <w:ilvl w:val="0"/>
                <w:numId w:val="0"/>
              </w:numPr>
              <w:ind w:left="567" w:hanging="283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r w:rsidRPr="00D3615B">
              <w:rPr>
                <w:rFonts w:ascii="Garamond" w:hAnsi="Garamond"/>
                <w:b w:val="0"/>
                <w:szCs w:val="22"/>
              </w:rPr>
              <w:t xml:space="preserve">2. </w:t>
            </w:r>
            <w:r w:rsidR="0047576A" w:rsidRPr="00D3615B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 xml:space="preserve">При </w:t>
            </w:r>
            <w:r w:rsidR="0047576A" w:rsidRPr="00812C53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 xml:space="preserve">выявлении до </w:t>
            </w:r>
            <w:r w:rsidR="0047576A" w:rsidRPr="00812C53">
              <w:rPr>
                <w:rFonts w:ascii="Garamond" w:hAnsi="Garamond"/>
                <w:b w:val="0"/>
                <w:color w:val="000000" w:themeColor="text1"/>
                <w:szCs w:val="22"/>
              </w:rPr>
              <w:t>01.10.2021</w:t>
            </w:r>
            <w:r w:rsidR="0047576A" w:rsidRPr="00812C53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 xml:space="preserve"> по результатам</w:t>
            </w:r>
            <w:r w:rsidR="0047576A" w:rsidRPr="00D3615B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 xml:space="preserve"> проведенных испытаний отличий </w:t>
            </w:r>
            <w:r w:rsidR="0047576A"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значений базовых диапазонов регулирования реактивной мощности от фактических значений диапазонов регулирования реактивной мощности генерирующего оборудования.</w:t>
            </w:r>
          </w:p>
          <w:p w14:paraId="62262968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bookmarkStart w:id="10" w:name="_Toc57848769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Заявляемые значения границ базовых диапазонов регулирования реактивной мощности генерирующего оборудования подлежат рассмотрению СО при одновременном выполнении следующих условий:</w:t>
            </w:r>
            <w:bookmarkEnd w:id="10"/>
          </w:p>
          <w:p w14:paraId="6D0F7776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bookmarkStart w:id="11" w:name="_Toc57848770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заявляемые значения представлены в установленном настоящим Регламентом формате в виде графических зависимостей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lastRenderedPageBreak/>
              <w:t>допустимой величины реактивной мощности генерирующего оборудования от активной мощности и табличных значений границ диапазона регулирования реактивной мощности генерирующего оборудования в зависимости от его активной мощности;</w:t>
            </w:r>
            <w:bookmarkEnd w:id="11"/>
          </w:p>
          <w:p w14:paraId="0566CD4D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bookmarkStart w:id="12" w:name="_Toc57848771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заявляемые значения подтверждены организацией-изготовителем генерирующего оборудования или иной уполномоченной организацией;</w:t>
            </w:r>
            <w:bookmarkEnd w:id="12"/>
          </w:p>
          <w:p w14:paraId="53DEB7F2" w14:textId="77777777" w:rsidR="0047576A" w:rsidRPr="0047576A" w:rsidRDefault="0047576A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bookmarkStart w:id="13" w:name="_Toc57848772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заявляемые значения максимально допустимой величины приема (при недопустимости приема – минимальной выдачи) и (или</w:t>
            </w:r>
            <w:r w:rsidRPr="00D3615B">
              <w:rPr>
                <w:rFonts w:ascii="Garamond" w:hAnsi="Garamond"/>
                <w:b w:val="0"/>
                <w:bCs/>
                <w:color w:val="000000" w:themeColor="text1"/>
                <w:szCs w:val="22"/>
              </w:rPr>
              <w:t>)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 максимально допустимой величины выдачи реактивной мощности не меньше (при недопустимости приема – не больше) значений, определенных по результатам тепловых испытаний. Значения, определенные по</w:t>
            </w:r>
            <w:r w:rsidRPr="00D3615B">
              <w:rPr>
                <w:rFonts w:ascii="Garamond" w:hAnsi="Garamond"/>
                <w:b w:val="0"/>
                <w:szCs w:val="22"/>
              </w:rPr>
              <w:t xml:space="preserve"> результатам проведения тепловых испытаний, представляются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в виде графических зависимостей допустимой величины реактивной мощности генерирующего оборудования от активной мощности и табличных значений границ диапазона регулирования реактивной мощности генерирующего оборудования в зависимости от его активной мощности </w:t>
            </w:r>
            <w:r w:rsidRPr="00D3615B">
              <w:rPr>
                <w:rFonts w:ascii="Garamond" w:hAnsi="Garamond"/>
                <w:b w:val="0"/>
                <w:szCs w:val="22"/>
              </w:rPr>
              <w:t>с приложением экспертного заключения специализированной организации, подтверждающего представляемые данные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;</w:t>
            </w:r>
            <w:bookmarkEnd w:id="13"/>
          </w:p>
          <w:p w14:paraId="2243A8DD" w14:textId="77777777" w:rsidR="0047576A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color w:val="000000" w:themeColor="text1"/>
                <w:szCs w:val="22"/>
              </w:rPr>
            </w:pPr>
          </w:p>
          <w:p w14:paraId="18B1F9FC" w14:textId="77777777" w:rsidR="0047576A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color w:val="000000" w:themeColor="text1"/>
                <w:szCs w:val="22"/>
              </w:rPr>
            </w:pPr>
          </w:p>
          <w:p w14:paraId="7ECFE7E6" w14:textId="77777777" w:rsidR="0047576A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color w:val="000000" w:themeColor="text1"/>
                <w:szCs w:val="22"/>
              </w:rPr>
            </w:pPr>
          </w:p>
          <w:p w14:paraId="09005AF8" w14:textId="77777777" w:rsidR="0047576A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color w:val="000000" w:themeColor="text1"/>
                <w:szCs w:val="22"/>
              </w:rPr>
            </w:pPr>
          </w:p>
          <w:p w14:paraId="6DAE8BAC" w14:textId="77777777" w:rsidR="0047576A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color w:val="000000" w:themeColor="text1"/>
                <w:szCs w:val="22"/>
              </w:rPr>
            </w:pPr>
          </w:p>
          <w:p w14:paraId="5A07006A" w14:textId="77777777" w:rsidR="003F5612" w:rsidRDefault="003F5612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color w:val="000000" w:themeColor="text1"/>
                <w:szCs w:val="22"/>
              </w:rPr>
            </w:pPr>
          </w:p>
          <w:p w14:paraId="5C312C6F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284"/>
              <w:rPr>
                <w:rFonts w:ascii="Garamond" w:hAnsi="Garamond"/>
                <w:b w:val="0"/>
                <w:szCs w:val="22"/>
              </w:rPr>
            </w:pPr>
          </w:p>
          <w:p w14:paraId="65828E57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bookmarkStart w:id="14" w:name="_Toc57848773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значения максимально допустимой величины приема (при недопустимости приема – минимальной выдачи) и (или</w:t>
            </w:r>
            <w:r w:rsidRPr="00D3615B">
              <w:rPr>
                <w:rFonts w:ascii="Garamond" w:hAnsi="Garamond"/>
                <w:b w:val="0"/>
                <w:bCs/>
                <w:color w:val="000000" w:themeColor="text1"/>
                <w:szCs w:val="22"/>
              </w:rPr>
              <w:t>)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 максимально допустимой величины выдачи реактивной мощности не меньше (при недопустимости приема – не больше) фактических значений реактивной мощности, зафиксированных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lastRenderedPageBreak/>
              <w:t>по данным СОТИАССО в период с 01.01.2018 по 31.03.2020;</w:t>
            </w:r>
            <w:bookmarkEnd w:id="14"/>
          </w:p>
          <w:p w14:paraId="5C9B8EA6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bookmarkStart w:id="15" w:name="_Toc57848774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генерирующее оборудование было допущено к торговле электроэнергией (мощностью) на оптовом рынке ранее 01.01.2020;</w:t>
            </w:r>
            <w:bookmarkEnd w:id="15"/>
          </w:p>
          <w:p w14:paraId="56BC577C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bookmarkStart w:id="16" w:name="_Toc57848775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заявление о необходимости внесения изменений в регистрационную информацию о базовых границах диапазонов регулирования реактивной мощности генерирующего оборудования представлено в период с 01.06.2020 </w:t>
            </w:r>
            <w:r w:rsidRPr="00A87FC5">
              <w:rPr>
                <w:rFonts w:ascii="Garamond" w:hAnsi="Garamond"/>
                <w:b w:val="0"/>
                <w:color w:val="000000" w:themeColor="text1"/>
                <w:szCs w:val="22"/>
              </w:rPr>
              <w:t>по 30.09.2021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.</w:t>
            </w:r>
            <w:bookmarkEnd w:id="16"/>
          </w:p>
          <w:p w14:paraId="12752071" w14:textId="77777777" w:rsidR="0047576A" w:rsidRPr="00D3615B" w:rsidRDefault="0047576A" w:rsidP="007A6A8C">
            <w:pPr>
              <w:pStyle w:val="3"/>
              <w:widowControl w:val="0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bookmarkStart w:id="17" w:name="_Toc57848776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При принятии положительного решения по результатам рассмотрения комплекта документов СО вносит изменения в регистрационную информацию в части </w:t>
            </w:r>
            <w:r w:rsidRPr="00D3615B">
              <w:rPr>
                <w:rFonts w:ascii="Garamond" w:hAnsi="Garamond"/>
                <w:b w:val="0"/>
                <w:szCs w:val="22"/>
              </w:rPr>
              <w:t>базового регулировочного диапазона и базовых границ диапазона регулирования реактивной мощности генерирующего оборудования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.</w:t>
            </w:r>
            <w:bookmarkEnd w:id="17"/>
          </w:p>
          <w:p w14:paraId="326A5436" w14:textId="5A7313B3" w:rsidR="0047576A" w:rsidRPr="007A6A8C" w:rsidRDefault="007A6A8C" w:rsidP="007A6A8C">
            <w:pPr>
              <w:pStyle w:val="3"/>
              <w:widowControl w:val="0"/>
              <w:numPr>
                <w:ilvl w:val="0"/>
                <w:numId w:val="0"/>
              </w:numPr>
              <w:ind w:left="567" w:hanging="283"/>
              <w:rPr>
                <w:rFonts w:ascii="Garamond" w:hAnsi="Garamond" w:cs="Garamond"/>
                <w:b w:val="0"/>
                <w:bCs/>
                <w:szCs w:val="22"/>
              </w:rPr>
            </w:pPr>
            <w:r w:rsidRPr="007A6A8C">
              <w:rPr>
                <w:rFonts w:ascii="Garamond" w:hAnsi="Garamond" w:cs="Garamond"/>
                <w:b w:val="0"/>
                <w:bCs/>
                <w:szCs w:val="22"/>
              </w:rPr>
              <w:t>…</w:t>
            </w:r>
          </w:p>
          <w:p w14:paraId="342D6832" w14:textId="77777777" w:rsidR="00177DF9" w:rsidRPr="008E726A" w:rsidRDefault="00177DF9" w:rsidP="007A6A8C">
            <w:pPr>
              <w:widowControl w:val="0"/>
              <w:spacing w:before="120" w:after="120"/>
              <w:jc w:val="both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264" w:type="pct"/>
          </w:tcPr>
          <w:p w14:paraId="4D031211" w14:textId="77777777" w:rsidR="00143FEB" w:rsidRPr="00143FEB" w:rsidRDefault="00143FEB" w:rsidP="007A6A8C">
            <w:pPr>
              <w:pStyle w:val="3"/>
              <w:widowControl w:val="0"/>
              <w:numPr>
                <w:ilvl w:val="0"/>
                <w:numId w:val="0"/>
              </w:numPr>
              <w:rPr>
                <w:rFonts w:ascii="Garamond" w:hAnsi="Garamond"/>
                <w:color w:val="000000" w:themeColor="text1"/>
                <w:szCs w:val="22"/>
              </w:rPr>
            </w:pPr>
            <w:r w:rsidRPr="00143FEB">
              <w:rPr>
                <w:rFonts w:ascii="Garamond" w:hAnsi="Garamond"/>
                <w:color w:val="000000" w:themeColor="text1"/>
                <w:szCs w:val="22"/>
              </w:rPr>
              <w:lastRenderedPageBreak/>
              <w:t>Участие в предоставлении диапазона регулирования реактивной мощности</w:t>
            </w:r>
          </w:p>
          <w:p w14:paraId="09D8F018" w14:textId="77777777" w:rsidR="00143FEB" w:rsidRPr="00143FEB" w:rsidRDefault="00143FEB" w:rsidP="007A6A8C">
            <w:pPr>
              <w:pStyle w:val="3"/>
              <w:widowControl w:val="0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r w:rsidRPr="00143FEB">
              <w:rPr>
                <w:rFonts w:ascii="Garamond" w:hAnsi="Garamond"/>
                <w:b w:val="0"/>
                <w:color w:val="000000" w:themeColor="text1"/>
                <w:szCs w:val="22"/>
              </w:rPr>
              <w:t>Диапазон регулирования реактивной электрической мощности генерирующего оборудования каждого участника оптового рынка определяется в соответствии с Техническими требованиями.</w:t>
            </w:r>
          </w:p>
          <w:p w14:paraId="627F7AFE" w14:textId="77777777" w:rsidR="00143FEB" w:rsidRDefault="00143FEB" w:rsidP="007A6A8C">
            <w:pPr>
              <w:pStyle w:val="3"/>
              <w:widowControl w:val="0"/>
              <w:numPr>
                <w:ilvl w:val="0"/>
                <w:numId w:val="0"/>
              </w:numPr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r>
              <w:rPr>
                <w:rFonts w:ascii="Garamond" w:hAnsi="Garamond"/>
                <w:b w:val="0"/>
                <w:color w:val="000000" w:themeColor="text1"/>
                <w:szCs w:val="22"/>
              </w:rPr>
              <w:t>…</w:t>
            </w:r>
          </w:p>
          <w:p w14:paraId="4F9E5DE8" w14:textId="2F09A94C" w:rsidR="00177DF9" w:rsidRPr="00D3615B" w:rsidRDefault="00177DF9" w:rsidP="007A6A8C">
            <w:pPr>
              <w:pStyle w:val="3"/>
              <w:widowControl w:val="0"/>
              <w:numPr>
                <w:ilvl w:val="0"/>
                <w:numId w:val="0"/>
              </w:numPr>
              <w:ind w:left="567" w:hanging="283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r w:rsidRPr="00D3615B">
              <w:rPr>
                <w:rFonts w:ascii="Garamond" w:hAnsi="Garamond"/>
                <w:b w:val="0"/>
                <w:szCs w:val="22"/>
              </w:rPr>
              <w:t xml:space="preserve">2. </w:t>
            </w:r>
            <w:r w:rsidRPr="00D3615B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>При выявлении до 01.</w:t>
            </w:r>
            <w:r w:rsidR="005574C5" w:rsidRPr="005574C5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>10</w:t>
            </w:r>
            <w:r w:rsidRPr="00D3615B">
              <w:rPr>
                <w:rFonts w:ascii="Garamond" w:eastAsiaTheme="majorEastAsia" w:hAnsi="Garamond" w:cstheme="majorBidi"/>
                <w:b w:val="0"/>
                <w:color w:val="000000" w:themeColor="text1"/>
                <w:szCs w:val="22"/>
              </w:rPr>
              <w:t xml:space="preserve">.2021 по результатам проведенных испытаний отличий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значений базовых диапазонов регулирования реактивной мощности от фактических значений диапазонов регулирования реактивной мощности генерирующего оборудования.</w:t>
            </w:r>
          </w:p>
          <w:p w14:paraId="09855BE2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bookmarkStart w:id="18" w:name="_Hlk54181654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Заявляемые </w:t>
            </w:r>
            <w:bookmarkStart w:id="19" w:name="_Hlk48297712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значения границ базовых диапазонов регулирования реактивной мощности генерирующего оборудования </w:t>
            </w:r>
            <w:bookmarkEnd w:id="19"/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подлежат рассмотрению СО при одновременном выполнении следующих условий:</w:t>
            </w:r>
          </w:p>
          <w:p w14:paraId="5C22B555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заявляемые значения представлены в установленном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lastRenderedPageBreak/>
              <w:t>настоящим Регламентом формате в виде графических зависимостей допустимой величины реактивной мощности генерирующего оборудования от активной мощности и табличных значений границ диапазона регулирования реактивной мощности генерирующего оборудования в зависимости от его активной мощности;</w:t>
            </w:r>
          </w:p>
          <w:p w14:paraId="3A935B9D" w14:textId="77777777" w:rsidR="00B6668E" w:rsidRPr="00B6668E" w:rsidRDefault="00177DF9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r w:rsidRPr="001C2678">
              <w:rPr>
                <w:rFonts w:ascii="Garamond" w:hAnsi="Garamond"/>
                <w:b w:val="0"/>
                <w:color w:val="000000" w:themeColor="text1"/>
                <w:szCs w:val="22"/>
              </w:rPr>
              <w:t>заявляемые значения подтверждены организацией-изготовителем</w:t>
            </w:r>
            <w:r w:rsidR="002405DF" w:rsidRPr="001D52D9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 </w:t>
            </w:r>
            <w:r w:rsidRPr="001C2678">
              <w:rPr>
                <w:rFonts w:ascii="Garamond" w:hAnsi="Garamond"/>
                <w:b w:val="0"/>
                <w:color w:val="000000" w:themeColor="text1"/>
                <w:szCs w:val="22"/>
              </w:rPr>
              <w:t>генерирующего оборудова</w:t>
            </w:r>
            <w:r w:rsidRPr="00707405">
              <w:rPr>
                <w:rFonts w:ascii="Garamond" w:hAnsi="Garamond"/>
                <w:b w:val="0"/>
                <w:color w:val="000000" w:themeColor="text1"/>
                <w:szCs w:val="22"/>
              </w:rPr>
              <w:t>ния</w:t>
            </w:r>
            <w:r w:rsidR="00707405" w:rsidRPr="00707405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 или иной уполномоченной организацией</w:t>
            </w:r>
            <w:r w:rsidR="00707405">
              <w:rPr>
                <w:rFonts w:ascii="Garamond" w:hAnsi="Garamond"/>
                <w:b w:val="0"/>
                <w:color w:val="000000" w:themeColor="text1"/>
                <w:szCs w:val="22"/>
              </w:rPr>
              <w:t>.</w:t>
            </w:r>
          </w:p>
          <w:bookmarkEnd w:id="18"/>
          <w:p w14:paraId="422E78CA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заявляемые значения максимально допустимой величины приема (при недопустимости приема – минимальной выдачи) и (или</w:t>
            </w:r>
            <w:r w:rsidRPr="00D3615B">
              <w:rPr>
                <w:rFonts w:ascii="Garamond" w:hAnsi="Garamond"/>
                <w:b w:val="0"/>
                <w:bCs/>
                <w:color w:val="000000" w:themeColor="text1"/>
                <w:szCs w:val="22"/>
              </w:rPr>
              <w:t>)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 максимально допустимой величины выдачи реактивной мощности не меньше (при недопустимости приема – не больше) значений, определенных по результатам тепловых испытаний. Значения, определенные по</w:t>
            </w:r>
            <w:r w:rsidRPr="00D3615B">
              <w:rPr>
                <w:rFonts w:ascii="Garamond" w:hAnsi="Garamond"/>
                <w:b w:val="0"/>
                <w:szCs w:val="22"/>
              </w:rPr>
              <w:t xml:space="preserve"> результатам проведения тепловых испытаний, представляются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в виде графических зависимостей допустимой величины реактивной мощности генерирующего оборудования от активной мощности и табличных значений границ диапазона регулирования реактивной мощности генерирующего оборудования в зависимости от его активной мощности </w:t>
            </w:r>
            <w:r w:rsidRPr="00D3615B">
              <w:rPr>
                <w:rFonts w:ascii="Garamond" w:hAnsi="Garamond"/>
                <w:b w:val="0"/>
                <w:szCs w:val="22"/>
              </w:rPr>
              <w:t>с приложением экспертного заключения специализированной организации, подтверждающего представляемые данны</w:t>
            </w:r>
            <w:r w:rsidR="0047576A">
              <w:rPr>
                <w:rFonts w:ascii="Garamond" w:hAnsi="Garamond"/>
                <w:b w:val="0"/>
                <w:szCs w:val="22"/>
              </w:rPr>
              <w:t>е</w:t>
            </w:r>
            <w:r w:rsidR="0047576A" w:rsidRPr="00D63D0C">
              <w:rPr>
                <w:rFonts w:ascii="Garamond" w:hAnsi="Garamond"/>
                <w:b w:val="0"/>
                <w:szCs w:val="22"/>
                <w:highlight w:val="yellow"/>
              </w:rPr>
              <w:t>.</w:t>
            </w:r>
            <w:r w:rsidRPr="00D63D0C">
              <w:rPr>
                <w:rFonts w:ascii="Garamond" w:hAnsi="Garamond"/>
                <w:b w:val="0"/>
                <w:szCs w:val="22"/>
                <w:highlight w:val="yellow"/>
              </w:rPr>
              <w:t xml:space="preserve"> </w:t>
            </w:r>
            <w:r w:rsidR="00E21174" w:rsidRPr="00D63D0C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Результаты тепловых </w:t>
            </w:r>
            <w:r w:rsidR="00E21174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испытаний </w:t>
            </w:r>
            <w:r w:rsidR="00E21174" w:rsidRPr="00177DF9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принимаются только в случае, если срок, прошедший с даты </w:t>
            </w:r>
            <w:r w:rsidR="00E21174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их </w:t>
            </w:r>
            <w:r w:rsidR="00E21174" w:rsidRPr="00177DF9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>завершения до момента предоставления их результатов Системному оператору</w:t>
            </w:r>
            <w:r w:rsidR="00E21174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 в составе предусмотренного настоящим </w:t>
            </w:r>
            <w:r w:rsidR="00E21174" w:rsidRPr="005A7410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пунктом заявления о необходимости внесения изменений в регистрационную информацию о базовых границах диапазонов регулирования реактивной мощности генерирующего оборудования, </w:t>
            </w:r>
            <w:r w:rsidR="00E21174" w:rsidRPr="00177DF9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составляет не более </w:t>
            </w:r>
            <w:r w:rsidR="00E21174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>360</w:t>
            </w:r>
            <w:r w:rsidR="00E21174" w:rsidRPr="00177DF9">
              <w:rPr>
                <w:rFonts w:ascii="Garamond" w:hAnsi="Garamond"/>
                <w:b w:val="0"/>
                <w:color w:val="000000" w:themeColor="text1"/>
                <w:szCs w:val="22"/>
                <w:highlight w:val="yellow"/>
              </w:rPr>
              <w:t xml:space="preserve"> календарных суток</w:t>
            </w:r>
            <w:r w:rsidR="00E21174" w:rsidRPr="00D63D0C">
              <w:rPr>
                <w:rFonts w:ascii="Garamond" w:hAnsi="Garamond"/>
                <w:b w:val="0"/>
                <w:color w:val="000000" w:themeColor="text1"/>
                <w:szCs w:val="22"/>
              </w:rPr>
              <w:t>;</w:t>
            </w:r>
          </w:p>
          <w:p w14:paraId="0BDCC6A9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значения максимально допустимой величины приема (при недопустимости приема – минимальной выдачи) и (или</w:t>
            </w:r>
            <w:r w:rsidRPr="00D3615B">
              <w:rPr>
                <w:rFonts w:ascii="Garamond" w:hAnsi="Garamond"/>
                <w:b w:val="0"/>
                <w:bCs/>
                <w:color w:val="000000" w:themeColor="text1"/>
                <w:szCs w:val="22"/>
              </w:rPr>
              <w:t>)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 максимально допустимой величины выдачи реактивной мощности не меньше (при недопустимости приема – не 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lastRenderedPageBreak/>
              <w:t>больше) фактических значений реактивной мощности, зафиксированных по данным СОТИАССО в период с 01.01.2018 по 31.03.2020;</w:t>
            </w:r>
          </w:p>
          <w:p w14:paraId="2FBDFCBD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генерирующее оборудование было допущено к торговле электроэнергией (мощностью) на оптовом рынке ранее 01.01.2020;</w:t>
            </w:r>
          </w:p>
          <w:p w14:paraId="2695B31B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38"/>
              </w:numPr>
              <w:rPr>
                <w:rFonts w:ascii="Garamond" w:hAnsi="Garamond"/>
                <w:b w:val="0"/>
                <w:szCs w:val="22"/>
              </w:rPr>
            </w:pP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заявление о необходимости внесения изменений в регистрационную информацию о базовых границах диапазонов регулирования реактивной мощности генерирующего оборудования представл</w:t>
            </w:r>
            <w:r w:rsidR="0047576A">
              <w:rPr>
                <w:rFonts w:ascii="Garamond" w:hAnsi="Garamond"/>
                <w:b w:val="0"/>
                <w:color w:val="000000" w:themeColor="text1"/>
                <w:szCs w:val="22"/>
              </w:rPr>
              <w:t>ено в период с 01.06.2020 по 30.09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.2021.</w:t>
            </w:r>
          </w:p>
          <w:p w14:paraId="5804E17B" w14:textId="77777777" w:rsidR="00177DF9" w:rsidRPr="00D3615B" w:rsidRDefault="00177DF9" w:rsidP="007A6A8C">
            <w:pPr>
              <w:pStyle w:val="3"/>
              <w:widowControl w:val="0"/>
              <w:numPr>
                <w:ilvl w:val="0"/>
                <w:numId w:val="0"/>
              </w:numPr>
              <w:ind w:left="567"/>
              <w:rPr>
                <w:rFonts w:ascii="Garamond" w:hAnsi="Garamond"/>
                <w:b w:val="0"/>
                <w:color w:val="000000" w:themeColor="text1"/>
                <w:szCs w:val="22"/>
              </w:rPr>
            </w:pP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 xml:space="preserve">При принятии положительного решения по результатам рассмотрения комплекта документов СО вносит изменения в регистрационную информацию в части </w:t>
            </w:r>
            <w:r w:rsidRPr="00D3615B">
              <w:rPr>
                <w:rFonts w:ascii="Garamond" w:hAnsi="Garamond"/>
                <w:b w:val="0"/>
                <w:szCs w:val="22"/>
              </w:rPr>
              <w:t>базового регулировочного диапазона и базовых границ диапазона регулирования реактивной мощности генерирующего оборудования</w:t>
            </w:r>
            <w:r w:rsidRPr="00D3615B">
              <w:rPr>
                <w:rFonts w:ascii="Garamond" w:hAnsi="Garamond"/>
                <w:b w:val="0"/>
                <w:color w:val="000000" w:themeColor="text1"/>
                <w:szCs w:val="22"/>
              </w:rPr>
              <w:t>.</w:t>
            </w:r>
          </w:p>
          <w:p w14:paraId="4E4B213F" w14:textId="77777777" w:rsidR="00177DF9" w:rsidRPr="00143FEB" w:rsidRDefault="00177DF9" w:rsidP="007A6A8C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43FEB">
              <w:rPr>
                <w:rFonts w:ascii="Garamond" w:eastAsia="Times New Roman" w:hAnsi="Garamond" w:cs="Garamond"/>
                <w:bCs/>
                <w:sz w:val="22"/>
                <w:szCs w:val="22"/>
              </w:rPr>
              <w:t>…</w:t>
            </w:r>
          </w:p>
        </w:tc>
      </w:tr>
    </w:tbl>
    <w:p w14:paraId="508EDCA1" w14:textId="77777777" w:rsidR="00A8778E" w:rsidRPr="002429BE" w:rsidRDefault="00A8778E" w:rsidP="00A8778E">
      <w:pPr>
        <w:spacing w:line="360" w:lineRule="auto"/>
        <w:jc w:val="both"/>
        <w:outlineLvl w:val="0"/>
        <w:rPr>
          <w:rFonts w:ascii="Garamond" w:hAnsi="Garamond"/>
          <w:b/>
        </w:rPr>
      </w:pPr>
    </w:p>
    <w:p w14:paraId="13B2F23E" w14:textId="77777777" w:rsidR="00943CA9" w:rsidRDefault="00943CA9" w:rsidP="00A8778E">
      <w:pPr>
        <w:autoSpaceDE w:val="0"/>
        <w:autoSpaceDN w:val="0"/>
        <w:adjustRightInd w:val="0"/>
        <w:ind w:left="567" w:right="-284" w:firstLine="426"/>
        <w:jc w:val="right"/>
        <w:outlineLvl w:val="0"/>
        <w:rPr>
          <w:sz w:val="16"/>
          <w:szCs w:val="16"/>
          <w:lang w:eastAsia="en-US"/>
        </w:rPr>
      </w:pPr>
    </w:p>
    <w:sectPr w:rsidR="00943CA9" w:rsidSect="008E726A">
      <w:headerReference w:type="default" r:id="rId8"/>
      <w:pgSz w:w="16838" w:h="11906" w:orient="landscape"/>
      <w:pgMar w:top="1134" w:right="1134" w:bottom="99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22362" w14:textId="77777777" w:rsidR="00667796" w:rsidRDefault="00667796" w:rsidP="004E72B5">
      <w:r>
        <w:separator/>
      </w:r>
    </w:p>
  </w:endnote>
  <w:endnote w:type="continuationSeparator" w:id="0">
    <w:p w14:paraId="3EFCD333" w14:textId="77777777" w:rsidR="00667796" w:rsidRDefault="00667796" w:rsidP="004E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E0F28" w14:textId="77777777" w:rsidR="00667796" w:rsidRDefault="00667796" w:rsidP="004E72B5">
      <w:r>
        <w:separator/>
      </w:r>
    </w:p>
  </w:footnote>
  <w:footnote w:type="continuationSeparator" w:id="0">
    <w:p w14:paraId="4BB9249C" w14:textId="77777777" w:rsidR="00667796" w:rsidRDefault="00667796" w:rsidP="004E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5191371"/>
      <w:docPartObj>
        <w:docPartGallery w:val="Page Numbers (Top of Page)"/>
        <w:docPartUnique/>
      </w:docPartObj>
    </w:sdtPr>
    <w:sdtEndPr/>
    <w:sdtContent>
      <w:p w14:paraId="235D8B28" w14:textId="77777777" w:rsidR="004E72B5" w:rsidRDefault="00DE3A81" w:rsidP="00F500D9">
        <w:pPr>
          <w:pStyle w:val="a8"/>
        </w:pPr>
      </w:p>
    </w:sdtContent>
  </w:sdt>
  <w:p w14:paraId="56B03128" w14:textId="77777777" w:rsidR="004E72B5" w:rsidRDefault="004E72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096A74A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FB"/>
    <w:multiLevelType w:val="multilevel"/>
    <w:tmpl w:val="E104049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3">
      <w:start w:val="1"/>
      <w:numFmt w:val="decimal"/>
      <w:lvlText w:val="4.2.%4"/>
      <w:lvlJc w:val="left"/>
      <w:pPr>
        <w:tabs>
          <w:tab w:val="num" w:pos="426"/>
        </w:tabs>
        <w:ind w:left="426" w:firstLine="0"/>
      </w:pPr>
      <w:rPr>
        <w:rFonts w:hint="default"/>
        <w:i w:val="0"/>
      </w:rPr>
    </w:lvl>
    <w:lvl w:ilvl="4">
      <w:start w:val="1"/>
      <w:numFmt w:val="decimal"/>
      <w:pStyle w:val="5"/>
      <w:lvlText w:val="%5)"/>
      <w:lvlJc w:val="left"/>
      <w:pPr>
        <w:tabs>
          <w:tab w:val="num" w:pos="1844"/>
        </w:tabs>
        <w:ind w:left="1844" w:firstLine="0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FB0220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A517544"/>
    <w:multiLevelType w:val="hybridMultilevel"/>
    <w:tmpl w:val="69EE27B2"/>
    <w:lvl w:ilvl="0" w:tplc="FFFFFFFF">
      <w:start w:val="1"/>
      <w:numFmt w:val="decimal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686C7EEC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 w15:restartNumberingAfterBreak="0">
    <w:nsid w:val="0B533010"/>
    <w:multiLevelType w:val="hybridMultilevel"/>
    <w:tmpl w:val="25582C18"/>
    <w:lvl w:ilvl="0" w:tplc="186AF75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DD56A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A4A0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4042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A23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8EB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EAB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C12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5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A4897"/>
    <w:multiLevelType w:val="hybridMultilevel"/>
    <w:tmpl w:val="25582C18"/>
    <w:lvl w:ilvl="0" w:tplc="186AF75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DD56A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A4A0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4042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A23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8EB4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EAB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C12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5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006A5D"/>
    <w:multiLevelType w:val="multilevel"/>
    <w:tmpl w:val="6C0C8B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715DCE"/>
    <w:multiLevelType w:val="hybridMultilevel"/>
    <w:tmpl w:val="AA7A79DA"/>
    <w:lvl w:ilvl="0" w:tplc="1D4A006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6080A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541F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563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69B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43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6E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656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22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3C3225"/>
    <w:multiLevelType w:val="hybridMultilevel"/>
    <w:tmpl w:val="FD3ED628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4D30D8"/>
    <w:multiLevelType w:val="hybridMultilevel"/>
    <w:tmpl w:val="571AD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E20484"/>
    <w:multiLevelType w:val="multilevel"/>
    <w:tmpl w:val="53AEB488"/>
    <w:lvl w:ilvl="0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E5711D"/>
    <w:multiLevelType w:val="hybridMultilevel"/>
    <w:tmpl w:val="4E3CC99E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867D70"/>
    <w:multiLevelType w:val="hybridMultilevel"/>
    <w:tmpl w:val="F7C85596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213450B"/>
    <w:multiLevelType w:val="multilevel"/>
    <w:tmpl w:val="76925796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94D0C47"/>
    <w:multiLevelType w:val="multilevel"/>
    <w:tmpl w:val="FB0220F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2."/>
      <w:lvlJc w:val="left"/>
      <w:pPr>
        <w:ind w:left="0" w:firstLine="0"/>
      </w:pPr>
      <w:rPr>
        <w:rFonts w:ascii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44936B94"/>
    <w:multiLevelType w:val="singleLevel"/>
    <w:tmpl w:val="CDA02D3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44E97076"/>
    <w:multiLevelType w:val="hybridMultilevel"/>
    <w:tmpl w:val="81869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8CA3DE0"/>
    <w:multiLevelType w:val="hybridMultilevel"/>
    <w:tmpl w:val="058ABD5A"/>
    <w:lvl w:ilvl="0" w:tplc="0419000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9746B"/>
    <w:multiLevelType w:val="hybridMultilevel"/>
    <w:tmpl w:val="356AB46A"/>
    <w:lvl w:ilvl="0" w:tplc="93DCC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2A7625"/>
    <w:multiLevelType w:val="hybridMultilevel"/>
    <w:tmpl w:val="95D48F6A"/>
    <w:lvl w:ilvl="0" w:tplc="7F14847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A32789C"/>
    <w:multiLevelType w:val="hybridMultilevel"/>
    <w:tmpl w:val="AA7A79DA"/>
    <w:lvl w:ilvl="0" w:tplc="1D4A0064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6080A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541F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563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369B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43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6E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656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22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6662DD"/>
    <w:multiLevelType w:val="hybridMultilevel"/>
    <w:tmpl w:val="7E1A111A"/>
    <w:lvl w:ilvl="0" w:tplc="71262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09333FD"/>
    <w:multiLevelType w:val="hybridMultilevel"/>
    <w:tmpl w:val="737CEEB2"/>
    <w:lvl w:ilvl="0" w:tplc="C8D0666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517712"/>
    <w:multiLevelType w:val="hybridMultilevel"/>
    <w:tmpl w:val="AE9C181C"/>
    <w:lvl w:ilvl="0" w:tplc="04090001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9D44918"/>
    <w:multiLevelType w:val="hybridMultilevel"/>
    <w:tmpl w:val="CEF66A2E"/>
    <w:lvl w:ilvl="0" w:tplc="F2124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311C4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16B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A9E9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B62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89F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F8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65AD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569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3B63D8"/>
    <w:multiLevelType w:val="hybridMultilevel"/>
    <w:tmpl w:val="F5820046"/>
    <w:lvl w:ilvl="0" w:tplc="0419000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7" w15:restartNumberingAfterBreak="0">
    <w:nsid w:val="6D523B67"/>
    <w:multiLevelType w:val="singleLevel"/>
    <w:tmpl w:val="CDF4BB94"/>
    <w:lvl w:ilvl="0">
      <w:start w:val="1"/>
      <w:numFmt w:val="bullet"/>
      <w:pStyle w:val="26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8" w15:restartNumberingAfterBreak="0">
    <w:nsid w:val="749C677A"/>
    <w:multiLevelType w:val="hybridMultilevel"/>
    <w:tmpl w:val="4AF2B472"/>
    <w:lvl w:ilvl="0" w:tplc="121614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A1350"/>
    <w:multiLevelType w:val="hybridMultilevel"/>
    <w:tmpl w:val="14C2BCE2"/>
    <w:lvl w:ilvl="0" w:tplc="DCB6EB22">
      <w:start w:val="1"/>
      <w:numFmt w:val="bullet"/>
      <w:lvlText w:val=""/>
      <w:lvlJc w:val="left"/>
      <w:pPr>
        <w:tabs>
          <w:tab w:val="num" w:pos="1324"/>
        </w:tabs>
        <w:ind w:left="1324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45E47"/>
    <w:multiLevelType w:val="hybridMultilevel"/>
    <w:tmpl w:val="2730B412"/>
    <w:lvl w:ilvl="0" w:tplc="E78A538E">
      <w:start w:val="1"/>
      <w:numFmt w:val="bullet"/>
      <w:lvlText w:val=""/>
      <w:lvlJc w:val="left"/>
      <w:pPr>
        <w:tabs>
          <w:tab w:val="num" w:pos="2274"/>
        </w:tabs>
        <w:ind w:left="2274" w:hanging="360"/>
      </w:pPr>
      <w:rPr>
        <w:rFonts w:ascii="Symbol" w:hAnsi="Symbol" w:hint="default"/>
        <w:b/>
        <w:i/>
        <w:sz w:val="28"/>
      </w:rPr>
    </w:lvl>
    <w:lvl w:ilvl="1" w:tplc="04190019" w:tentative="1">
      <w:start w:val="1"/>
      <w:numFmt w:val="bullet"/>
      <w:lvlText w:val="o"/>
      <w:lvlJc w:val="left"/>
      <w:pPr>
        <w:tabs>
          <w:tab w:val="num" w:pos="1914"/>
        </w:tabs>
        <w:ind w:left="191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34"/>
        </w:tabs>
        <w:ind w:left="263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54"/>
        </w:tabs>
        <w:ind w:left="3354" w:hanging="360"/>
      </w:pPr>
      <w:rPr>
        <w:rFonts w:ascii="Symbol" w:hAnsi="Symbol" w:hint="default"/>
      </w:rPr>
    </w:lvl>
    <w:lvl w:ilvl="4" w:tplc="04190019">
      <w:start w:val="1"/>
      <w:numFmt w:val="bullet"/>
      <w:lvlText w:val=""/>
      <w:lvlJc w:val="left"/>
      <w:pPr>
        <w:tabs>
          <w:tab w:val="num" w:pos="4074"/>
        </w:tabs>
        <w:ind w:left="4074" w:hanging="360"/>
      </w:pPr>
      <w:rPr>
        <w:rFonts w:ascii="Symbol" w:hAnsi="Symbol" w:hint="default"/>
        <w:b/>
        <w:i/>
        <w:sz w:val="28"/>
      </w:rPr>
    </w:lvl>
    <w:lvl w:ilvl="5" w:tplc="0419001B" w:tentative="1">
      <w:start w:val="1"/>
      <w:numFmt w:val="bullet"/>
      <w:lvlText w:val=""/>
      <w:lvlJc w:val="left"/>
      <w:pPr>
        <w:tabs>
          <w:tab w:val="num" w:pos="4794"/>
        </w:tabs>
        <w:ind w:left="479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14"/>
        </w:tabs>
        <w:ind w:left="551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34"/>
        </w:tabs>
        <w:ind w:left="623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54"/>
        </w:tabs>
        <w:ind w:left="6954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11"/>
  </w:num>
  <w:num w:numId="9">
    <w:abstractNumId w:val="5"/>
  </w:num>
  <w:num w:numId="10">
    <w:abstractNumId w:val="1"/>
  </w:num>
  <w:num w:numId="11">
    <w:abstractNumId w:val="4"/>
  </w:num>
  <w:num w:numId="12">
    <w:abstractNumId w:val="1"/>
  </w:num>
  <w:num w:numId="13">
    <w:abstractNumId w:val="3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</w:num>
  <w:num w:numId="19">
    <w:abstractNumId w:val="1"/>
  </w:num>
  <w:num w:numId="20">
    <w:abstractNumId w:val="17"/>
  </w:num>
  <w:num w:numId="21">
    <w:abstractNumId w:val="14"/>
  </w:num>
  <w:num w:numId="22">
    <w:abstractNumId w:val="28"/>
  </w:num>
  <w:num w:numId="23">
    <w:abstractNumId w:val="22"/>
  </w:num>
  <w:num w:numId="24">
    <w:abstractNumId w:val="9"/>
  </w:num>
  <w:num w:numId="25">
    <w:abstractNumId w:val="27"/>
  </w:num>
  <w:num w:numId="2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8"/>
  </w:num>
  <w:num w:numId="30">
    <w:abstractNumId w:val="20"/>
  </w:num>
  <w:num w:numId="31">
    <w:abstractNumId w:val="10"/>
  </w:num>
  <w:num w:numId="32">
    <w:abstractNumId w:val="6"/>
  </w:num>
  <w:num w:numId="33">
    <w:abstractNumId w:val="25"/>
  </w:num>
  <w:num w:numId="34">
    <w:abstractNumId w:val="24"/>
  </w:num>
  <w:num w:numId="35">
    <w:abstractNumId w:val="12"/>
  </w:num>
  <w:num w:numId="36">
    <w:abstractNumId w:val="16"/>
  </w:num>
  <w:num w:numId="37">
    <w:abstractNumId w:val="13"/>
  </w:num>
  <w:num w:numId="38">
    <w:abstractNumId w:val="8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E6"/>
    <w:rsid w:val="000002A5"/>
    <w:rsid w:val="0000686B"/>
    <w:rsid w:val="0001673F"/>
    <w:rsid w:val="00016EA7"/>
    <w:rsid w:val="00020CCF"/>
    <w:rsid w:val="00072C69"/>
    <w:rsid w:val="000C3AEE"/>
    <w:rsid w:val="000C6F4E"/>
    <w:rsid w:val="000F25E9"/>
    <w:rsid w:val="00107DFA"/>
    <w:rsid w:val="00115A59"/>
    <w:rsid w:val="00143FEB"/>
    <w:rsid w:val="00144B3C"/>
    <w:rsid w:val="001565E0"/>
    <w:rsid w:val="00163DCE"/>
    <w:rsid w:val="00164963"/>
    <w:rsid w:val="001718EC"/>
    <w:rsid w:val="00177754"/>
    <w:rsid w:val="00177DF9"/>
    <w:rsid w:val="00181726"/>
    <w:rsid w:val="0018365F"/>
    <w:rsid w:val="00197B12"/>
    <w:rsid w:val="001B7A7E"/>
    <w:rsid w:val="001C2678"/>
    <w:rsid w:val="001D26F6"/>
    <w:rsid w:val="001D52D9"/>
    <w:rsid w:val="001E1F1B"/>
    <w:rsid w:val="001E356F"/>
    <w:rsid w:val="001F294F"/>
    <w:rsid w:val="002028B3"/>
    <w:rsid w:val="002168B2"/>
    <w:rsid w:val="00222143"/>
    <w:rsid w:val="002405DF"/>
    <w:rsid w:val="00260ED5"/>
    <w:rsid w:val="0026134F"/>
    <w:rsid w:val="0027034D"/>
    <w:rsid w:val="00277575"/>
    <w:rsid w:val="00283A55"/>
    <w:rsid w:val="00286BB5"/>
    <w:rsid w:val="002975F5"/>
    <w:rsid w:val="002A41E6"/>
    <w:rsid w:val="002C7E62"/>
    <w:rsid w:val="002D2F14"/>
    <w:rsid w:val="00305A49"/>
    <w:rsid w:val="00310D48"/>
    <w:rsid w:val="003123F3"/>
    <w:rsid w:val="00320639"/>
    <w:rsid w:val="003213B2"/>
    <w:rsid w:val="0032317F"/>
    <w:rsid w:val="00324CA8"/>
    <w:rsid w:val="003330E5"/>
    <w:rsid w:val="00366DA8"/>
    <w:rsid w:val="003846A8"/>
    <w:rsid w:val="003910E2"/>
    <w:rsid w:val="003A5729"/>
    <w:rsid w:val="003B268C"/>
    <w:rsid w:val="003B4672"/>
    <w:rsid w:val="003D6020"/>
    <w:rsid w:val="003D63A3"/>
    <w:rsid w:val="003E7456"/>
    <w:rsid w:val="003F5612"/>
    <w:rsid w:val="00410387"/>
    <w:rsid w:val="00436680"/>
    <w:rsid w:val="004436C3"/>
    <w:rsid w:val="004443D4"/>
    <w:rsid w:val="00455418"/>
    <w:rsid w:val="00465842"/>
    <w:rsid w:val="0046660F"/>
    <w:rsid w:val="00471FED"/>
    <w:rsid w:val="00473105"/>
    <w:rsid w:val="0047576A"/>
    <w:rsid w:val="00484794"/>
    <w:rsid w:val="0048741D"/>
    <w:rsid w:val="004B5E00"/>
    <w:rsid w:val="004C5DB1"/>
    <w:rsid w:val="004E72B5"/>
    <w:rsid w:val="00512444"/>
    <w:rsid w:val="0051301D"/>
    <w:rsid w:val="005150BD"/>
    <w:rsid w:val="00523431"/>
    <w:rsid w:val="00537B1C"/>
    <w:rsid w:val="00551EDE"/>
    <w:rsid w:val="005574C5"/>
    <w:rsid w:val="00586932"/>
    <w:rsid w:val="005936B0"/>
    <w:rsid w:val="005A138E"/>
    <w:rsid w:val="005A7410"/>
    <w:rsid w:val="005B3372"/>
    <w:rsid w:val="005C4CC8"/>
    <w:rsid w:val="005C4F00"/>
    <w:rsid w:val="005D221C"/>
    <w:rsid w:val="005D6860"/>
    <w:rsid w:val="005F1D56"/>
    <w:rsid w:val="00603EBB"/>
    <w:rsid w:val="00612A89"/>
    <w:rsid w:val="00663328"/>
    <w:rsid w:val="00667796"/>
    <w:rsid w:val="006A4F11"/>
    <w:rsid w:val="006C53AC"/>
    <w:rsid w:val="006F7C4D"/>
    <w:rsid w:val="00707405"/>
    <w:rsid w:val="00707AB8"/>
    <w:rsid w:val="007141F4"/>
    <w:rsid w:val="007462E1"/>
    <w:rsid w:val="00773A42"/>
    <w:rsid w:val="00786916"/>
    <w:rsid w:val="00792490"/>
    <w:rsid w:val="007A3F7D"/>
    <w:rsid w:val="007A6A8C"/>
    <w:rsid w:val="007B4B3B"/>
    <w:rsid w:val="007D1880"/>
    <w:rsid w:val="007E7114"/>
    <w:rsid w:val="007E7866"/>
    <w:rsid w:val="00801B54"/>
    <w:rsid w:val="00812A2A"/>
    <w:rsid w:val="00817A5F"/>
    <w:rsid w:val="00831C32"/>
    <w:rsid w:val="00833346"/>
    <w:rsid w:val="008470CF"/>
    <w:rsid w:val="00853A5E"/>
    <w:rsid w:val="00854DD0"/>
    <w:rsid w:val="00857E93"/>
    <w:rsid w:val="00873353"/>
    <w:rsid w:val="008818C3"/>
    <w:rsid w:val="00891A47"/>
    <w:rsid w:val="008A320A"/>
    <w:rsid w:val="008A6496"/>
    <w:rsid w:val="008B2742"/>
    <w:rsid w:val="008C535B"/>
    <w:rsid w:val="008C6990"/>
    <w:rsid w:val="008D3C6D"/>
    <w:rsid w:val="008E726A"/>
    <w:rsid w:val="008F2547"/>
    <w:rsid w:val="009137D3"/>
    <w:rsid w:val="009235D4"/>
    <w:rsid w:val="009263F7"/>
    <w:rsid w:val="0093434A"/>
    <w:rsid w:val="00936309"/>
    <w:rsid w:val="00937720"/>
    <w:rsid w:val="00943CA9"/>
    <w:rsid w:val="00951715"/>
    <w:rsid w:val="009556E5"/>
    <w:rsid w:val="009577B1"/>
    <w:rsid w:val="0098047F"/>
    <w:rsid w:val="00987D29"/>
    <w:rsid w:val="009B2440"/>
    <w:rsid w:val="009C53C3"/>
    <w:rsid w:val="009D1418"/>
    <w:rsid w:val="009D4217"/>
    <w:rsid w:val="009E5071"/>
    <w:rsid w:val="009F064F"/>
    <w:rsid w:val="009F5509"/>
    <w:rsid w:val="009F5FDE"/>
    <w:rsid w:val="00A00C50"/>
    <w:rsid w:val="00A043EB"/>
    <w:rsid w:val="00A17630"/>
    <w:rsid w:val="00A21011"/>
    <w:rsid w:val="00A4055B"/>
    <w:rsid w:val="00A41D0E"/>
    <w:rsid w:val="00A4734E"/>
    <w:rsid w:val="00A50582"/>
    <w:rsid w:val="00A7253C"/>
    <w:rsid w:val="00A77FA4"/>
    <w:rsid w:val="00A8778E"/>
    <w:rsid w:val="00AA0A68"/>
    <w:rsid w:val="00AA1E28"/>
    <w:rsid w:val="00AA7E88"/>
    <w:rsid w:val="00AB4CCD"/>
    <w:rsid w:val="00AB5850"/>
    <w:rsid w:val="00AC070A"/>
    <w:rsid w:val="00AC2F80"/>
    <w:rsid w:val="00AC6C42"/>
    <w:rsid w:val="00AD2186"/>
    <w:rsid w:val="00AD5485"/>
    <w:rsid w:val="00AD6BAC"/>
    <w:rsid w:val="00AF31A1"/>
    <w:rsid w:val="00B01F22"/>
    <w:rsid w:val="00B36EA5"/>
    <w:rsid w:val="00B40D1D"/>
    <w:rsid w:val="00B44BDF"/>
    <w:rsid w:val="00B537B3"/>
    <w:rsid w:val="00B55B57"/>
    <w:rsid w:val="00B6646C"/>
    <w:rsid w:val="00B6668E"/>
    <w:rsid w:val="00B67F78"/>
    <w:rsid w:val="00B71E8D"/>
    <w:rsid w:val="00B75AD9"/>
    <w:rsid w:val="00BA1296"/>
    <w:rsid w:val="00BA60EE"/>
    <w:rsid w:val="00BB1534"/>
    <w:rsid w:val="00BB2D26"/>
    <w:rsid w:val="00BD09D9"/>
    <w:rsid w:val="00BD2BA6"/>
    <w:rsid w:val="00BD38C3"/>
    <w:rsid w:val="00BF6A8F"/>
    <w:rsid w:val="00C05AA5"/>
    <w:rsid w:val="00C106DA"/>
    <w:rsid w:val="00C1131E"/>
    <w:rsid w:val="00C21B5E"/>
    <w:rsid w:val="00C258A2"/>
    <w:rsid w:val="00C264AE"/>
    <w:rsid w:val="00C30411"/>
    <w:rsid w:val="00C3138D"/>
    <w:rsid w:val="00C355A2"/>
    <w:rsid w:val="00C44F45"/>
    <w:rsid w:val="00C53FC5"/>
    <w:rsid w:val="00C6321D"/>
    <w:rsid w:val="00C7371A"/>
    <w:rsid w:val="00C829C2"/>
    <w:rsid w:val="00C921EE"/>
    <w:rsid w:val="00C97697"/>
    <w:rsid w:val="00C97B0B"/>
    <w:rsid w:val="00CA4111"/>
    <w:rsid w:val="00CB2073"/>
    <w:rsid w:val="00CB3CA4"/>
    <w:rsid w:val="00CD0A74"/>
    <w:rsid w:val="00CD43F9"/>
    <w:rsid w:val="00CF6CF4"/>
    <w:rsid w:val="00D03BBF"/>
    <w:rsid w:val="00D122EE"/>
    <w:rsid w:val="00D135C3"/>
    <w:rsid w:val="00D27011"/>
    <w:rsid w:val="00D272C0"/>
    <w:rsid w:val="00D54834"/>
    <w:rsid w:val="00D55DBA"/>
    <w:rsid w:val="00D63236"/>
    <w:rsid w:val="00D63D0C"/>
    <w:rsid w:val="00D721AD"/>
    <w:rsid w:val="00D759B7"/>
    <w:rsid w:val="00D75DFD"/>
    <w:rsid w:val="00D9001B"/>
    <w:rsid w:val="00D92319"/>
    <w:rsid w:val="00DA79A1"/>
    <w:rsid w:val="00DB1EA6"/>
    <w:rsid w:val="00DB32EF"/>
    <w:rsid w:val="00DC1688"/>
    <w:rsid w:val="00DC367A"/>
    <w:rsid w:val="00DE1056"/>
    <w:rsid w:val="00DE3A81"/>
    <w:rsid w:val="00E21174"/>
    <w:rsid w:val="00E455E8"/>
    <w:rsid w:val="00E81EC3"/>
    <w:rsid w:val="00E90311"/>
    <w:rsid w:val="00E97433"/>
    <w:rsid w:val="00EB6ED9"/>
    <w:rsid w:val="00EC4D86"/>
    <w:rsid w:val="00ED5764"/>
    <w:rsid w:val="00EE08BF"/>
    <w:rsid w:val="00F062C6"/>
    <w:rsid w:val="00F116F7"/>
    <w:rsid w:val="00F3037E"/>
    <w:rsid w:val="00F40D61"/>
    <w:rsid w:val="00F500D9"/>
    <w:rsid w:val="00F53F09"/>
    <w:rsid w:val="00F63AEE"/>
    <w:rsid w:val="00F67F5D"/>
    <w:rsid w:val="00F70112"/>
    <w:rsid w:val="00F70348"/>
    <w:rsid w:val="00F75488"/>
    <w:rsid w:val="00F84A26"/>
    <w:rsid w:val="00F97B90"/>
    <w:rsid w:val="00FA3950"/>
    <w:rsid w:val="00FB102E"/>
    <w:rsid w:val="00FB1996"/>
    <w:rsid w:val="00FC4963"/>
    <w:rsid w:val="00FE3272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65CE38"/>
  <w15:docId w15:val="{777F4E22-409D-45E1-A4E6-550D67D2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1E6"/>
    <w:rPr>
      <w:rFonts w:eastAsia="Calibri"/>
      <w:sz w:val="24"/>
      <w:szCs w:val="24"/>
    </w:rPr>
  </w:style>
  <w:style w:type="paragraph" w:styleId="1">
    <w:name w:val="heading 1"/>
    <w:aliases w:val="Заголовок параграфа (1.),Section,Section Heading,level2 hdg"/>
    <w:basedOn w:val="a"/>
    <w:next w:val="2"/>
    <w:link w:val="10"/>
    <w:qFormat/>
    <w:rsid w:val="00EE08BF"/>
    <w:pPr>
      <w:keepNext/>
      <w:pageBreakBefore/>
      <w:numPr>
        <w:numId w:val="3"/>
      </w:numPr>
      <w:spacing w:before="240" w:after="240"/>
      <w:outlineLvl w:val="0"/>
    </w:pPr>
    <w:rPr>
      <w:rFonts w:eastAsia="Times New Roman"/>
      <w:b/>
      <w:kern w:val="28"/>
      <w:sz w:val="28"/>
      <w:szCs w:val="20"/>
      <w:lang w:val="en-GB" w:eastAsia="en-US"/>
    </w:rPr>
  </w:style>
  <w:style w:type="paragraph" w:styleId="2">
    <w:name w:val="heading 2"/>
    <w:aliases w:val="h2,h21,Reset numbering,Заголовок пункта (1.1),5"/>
    <w:basedOn w:val="a"/>
    <w:next w:val="3"/>
    <w:link w:val="20"/>
    <w:qFormat/>
    <w:rsid w:val="00EE08BF"/>
    <w:pPr>
      <w:keepNext/>
      <w:numPr>
        <w:ilvl w:val="1"/>
        <w:numId w:val="3"/>
      </w:numPr>
      <w:spacing w:before="180" w:after="180"/>
      <w:jc w:val="both"/>
      <w:outlineLvl w:val="1"/>
    </w:pPr>
    <w:rPr>
      <w:rFonts w:eastAsia="Times New Roman"/>
      <w:b/>
      <w:szCs w:val="20"/>
      <w:lang w:val="en-GB" w:eastAsia="en-US"/>
    </w:rPr>
  </w:style>
  <w:style w:type="paragraph" w:styleId="3">
    <w:name w:val="heading 3"/>
    <w:aliases w:val="Level 1 - 1,Заголовок подпукта (1.1.1),H3"/>
    <w:basedOn w:val="a"/>
    <w:link w:val="30"/>
    <w:qFormat/>
    <w:rsid w:val="00EE08BF"/>
    <w:pPr>
      <w:numPr>
        <w:ilvl w:val="2"/>
        <w:numId w:val="3"/>
      </w:numPr>
      <w:spacing w:before="120" w:after="120"/>
      <w:jc w:val="both"/>
      <w:outlineLvl w:val="2"/>
    </w:pPr>
    <w:rPr>
      <w:rFonts w:eastAsia="Times New Roman"/>
      <w:b/>
      <w:sz w:val="22"/>
      <w:szCs w:val="20"/>
      <w:lang w:eastAsia="en-US"/>
    </w:rPr>
  </w:style>
  <w:style w:type="paragraph" w:styleId="40">
    <w:name w:val="heading 4"/>
    <w:aliases w:val="Sub-Minor,Level 2 - a,H4,H41"/>
    <w:basedOn w:val="a"/>
    <w:link w:val="41"/>
    <w:qFormat/>
    <w:rsid w:val="00EE08BF"/>
    <w:pPr>
      <w:spacing w:before="120" w:after="120"/>
      <w:jc w:val="both"/>
      <w:outlineLvl w:val="3"/>
    </w:pPr>
    <w:rPr>
      <w:rFonts w:eastAsia="Times New Roman"/>
      <w:sz w:val="22"/>
      <w:szCs w:val="20"/>
      <w:lang w:eastAsia="en-US"/>
    </w:rPr>
  </w:style>
  <w:style w:type="paragraph" w:styleId="5">
    <w:name w:val="heading 5"/>
    <w:aliases w:val="h5,h51,test,Block Label,Level 3 - i,H5,H51,h52"/>
    <w:basedOn w:val="a"/>
    <w:link w:val="50"/>
    <w:qFormat/>
    <w:rsid w:val="00EE08BF"/>
    <w:pPr>
      <w:numPr>
        <w:ilvl w:val="4"/>
        <w:numId w:val="3"/>
      </w:numPr>
      <w:spacing w:before="120" w:after="120"/>
      <w:jc w:val="both"/>
      <w:outlineLvl w:val="4"/>
    </w:pPr>
    <w:rPr>
      <w:rFonts w:eastAsia="Times New Roman"/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EE08BF"/>
    <w:pPr>
      <w:numPr>
        <w:ilvl w:val="5"/>
        <w:numId w:val="3"/>
      </w:numPr>
      <w:spacing w:before="120" w:after="120"/>
      <w:jc w:val="both"/>
      <w:outlineLvl w:val="5"/>
    </w:pPr>
    <w:rPr>
      <w:rFonts w:eastAsia="Times New Roman"/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E08BF"/>
    <w:pPr>
      <w:numPr>
        <w:ilvl w:val="6"/>
        <w:numId w:val="3"/>
      </w:numPr>
      <w:spacing w:before="180" w:after="240"/>
      <w:outlineLvl w:val="6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EE08BF"/>
    <w:pPr>
      <w:numPr>
        <w:ilvl w:val="7"/>
        <w:numId w:val="3"/>
      </w:numPr>
      <w:spacing w:before="240" w:after="60"/>
      <w:outlineLvl w:val="7"/>
    </w:pPr>
    <w:rPr>
      <w:rFonts w:ascii="Arial" w:eastAsia="Times New Roman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EE08BF"/>
    <w:pPr>
      <w:numPr>
        <w:ilvl w:val="8"/>
        <w:numId w:val="3"/>
      </w:numPr>
      <w:spacing w:before="240" w:after="60"/>
      <w:outlineLvl w:val="8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Bold">
    <w:name w:val="Body text + Bold"/>
    <w:rsid w:val="002A41E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Абзац списка1"/>
    <w:basedOn w:val="a"/>
    <w:rsid w:val="002A41E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"/>
    <w:link w:val="1"/>
    <w:rsid w:val="00EE08BF"/>
    <w:rPr>
      <w:b/>
      <w:kern w:val="28"/>
      <w:sz w:val="28"/>
      <w:lang w:val="en-GB" w:eastAsia="en-US"/>
    </w:rPr>
  </w:style>
  <w:style w:type="character" w:customStyle="1" w:styleId="20">
    <w:name w:val="Заголовок 2 Знак"/>
    <w:aliases w:val="h2 Знак,h21 Знак,Reset numbering Знак,Заголовок пункта (1.1) Знак,5 Знак"/>
    <w:link w:val="2"/>
    <w:rsid w:val="00EE08BF"/>
    <w:rPr>
      <w:b/>
      <w:sz w:val="24"/>
      <w:lang w:val="en-GB" w:eastAsia="en-US"/>
    </w:rPr>
  </w:style>
  <w:style w:type="character" w:customStyle="1" w:styleId="30">
    <w:name w:val="Заголовок 3 Знак"/>
    <w:aliases w:val="Level 1 - 1 Знак,Заголовок подпукта (1.1.1) Знак,H3 Знак"/>
    <w:link w:val="3"/>
    <w:rsid w:val="00EE08BF"/>
    <w:rPr>
      <w:b/>
      <w:sz w:val="22"/>
      <w:lang w:eastAsia="en-US"/>
    </w:rPr>
  </w:style>
  <w:style w:type="character" w:customStyle="1" w:styleId="41">
    <w:name w:val="Заголовок 4 Знак"/>
    <w:aliases w:val="Sub-Minor Знак,Level 2 - a Знак,H4 Знак,H41 Знак"/>
    <w:link w:val="40"/>
    <w:rsid w:val="00EE08BF"/>
    <w:rPr>
      <w:sz w:val="22"/>
      <w:lang w:eastAsia="en-US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link w:val="5"/>
    <w:rsid w:val="00EE08BF"/>
    <w:rPr>
      <w:sz w:val="22"/>
      <w:lang w:eastAsia="en-US"/>
    </w:rPr>
  </w:style>
  <w:style w:type="character" w:customStyle="1" w:styleId="60">
    <w:name w:val="Заголовок 6 Знак"/>
    <w:aliases w:val="Legal Level 1. Знак"/>
    <w:link w:val="6"/>
    <w:rsid w:val="00EE08BF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link w:val="7"/>
    <w:rsid w:val="00EE08BF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link w:val="8"/>
    <w:rsid w:val="00EE08BF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link w:val="9"/>
    <w:rsid w:val="00EE08BF"/>
    <w:rPr>
      <w:rFonts w:ascii="Arial" w:hAnsi="Arial"/>
      <w:i/>
      <w:sz w:val="18"/>
      <w:lang w:val="en-GB" w:eastAsia="en-US"/>
    </w:rPr>
  </w:style>
  <w:style w:type="paragraph" w:styleId="4">
    <w:name w:val="List Number 4"/>
    <w:basedOn w:val="a"/>
    <w:rsid w:val="007141F4"/>
    <w:pPr>
      <w:numPr>
        <w:numId w:val="5"/>
      </w:numPr>
      <w:spacing w:before="180" w:after="60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a3">
    <w:name w:val="List Paragraph"/>
    <w:basedOn w:val="a"/>
    <w:link w:val="a4"/>
    <w:uiPriority w:val="34"/>
    <w:qFormat/>
    <w:rsid w:val="00F70112"/>
    <w:pPr>
      <w:ind w:left="708"/>
    </w:pPr>
  </w:style>
  <w:style w:type="paragraph" w:styleId="a5">
    <w:name w:val="Balloon Text"/>
    <w:basedOn w:val="a"/>
    <w:link w:val="a6"/>
    <w:rsid w:val="00C355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C355A2"/>
    <w:rPr>
      <w:rFonts w:ascii="Segoe UI" w:eastAsia="Calibri" w:hAnsi="Segoe UI" w:cs="Segoe UI"/>
      <w:sz w:val="18"/>
      <w:szCs w:val="18"/>
    </w:rPr>
  </w:style>
  <w:style w:type="paragraph" w:styleId="21">
    <w:name w:val="List Number 2"/>
    <w:basedOn w:val="a"/>
    <w:rsid w:val="00F97B90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eastAsia="Times New Roman" w:hAnsi="Garamond"/>
      <w:sz w:val="22"/>
      <w:szCs w:val="20"/>
      <w:lang w:eastAsia="en-US"/>
    </w:rPr>
  </w:style>
  <w:style w:type="paragraph" w:customStyle="1" w:styleId="26">
    <w:name w:val="Основной текст 26"/>
    <w:basedOn w:val="a"/>
    <w:rsid w:val="004443D4"/>
    <w:pPr>
      <w:numPr>
        <w:numId w:val="25"/>
      </w:numPr>
      <w:overflowPunct w:val="0"/>
      <w:autoSpaceDE w:val="0"/>
      <w:autoSpaceDN w:val="0"/>
      <w:adjustRightInd w:val="0"/>
    </w:pPr>
    <w:rPr>
      <w:rFonts w:ascii="Arial" w:eastAsia="Times New Roman" w:hAnsi="Arial"/>
      <w:sz w:val="22"/>
      <w:szCs w:val="20"/>
    </w:rPr>
  </w:style>
  <w:style w:type="character" w:styleId="a7">
    <w:name w:val="Strong"/>
    <w:uiPriority w:val="22"/>
    <w:qFormat/>
    <w:rsid w:val="009577B1"/>
    <w:rPr>
      <w:b/>
      <w:bCs/>
    </w:rPr>
  </w:style>
  <w:style w:type="paragraph" w:styleId="a8">
    <w:name w:val="header"/>
    <w:basedOn w:val="a"/>
    <w:link w:val="a9"/>
    <w:uiPriority w:val="99"/>
    <w:rsid w:val="00F3037E"/>
    <w:pPr>
      <w:tabs>
        <w:tab w:val="center" w:pos="4320"/>
        <w:tab w:val="right" w:pos="8640"/>
      </w:tabs>
      <w:jc w:val="both"/>
    </w:pPr>
    <w:rPr>
      <w:rFonts w:ascii="MS Sans Serif" w:eastAsia="Times New Roman" w:hAnsi="MS Sans Serif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3037E"/>
    <w:rPr>
      <w:rFonts w:ascii="MS Sans Serif" w:hAnsi="MS Sans Serif"/>
    </w:rPr>
  </w:style>
  <w:style w:type="character" w:styleId="aa">
    <w:name w:val="annotation reference"/>
    <w:basedOn w:val="a0"/>
    <w:semiHidden/>
    <w:unhideWhenUsed/>
    <w:rsid w:val="00F3037E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F3037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F3037E"/>
    <w:rPr>
      <w:rFonts w:eastAsia="Calibri"/>
    </w:rPr>
  </w:style>
  <w:style w:type="paragraph" w:styleId="ad">
    <w:name w:val="annotation subject"/>
    <w:basedOn w:val="ab"/>
    <w:next w:val="ab"/>
    <w:link w:val="ae"/>
    <w:semiHidden/>
    <w:unhideWhenUsed/>
    <w:rsid w:val="00F3037E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F3037E"/>
    <w:rPr>
      <w:rFonts w:eastAsia="Calibri"/>
      <w:b/>
      <w:bCs/>
    </w:rPr>
  </w:style>
  <w:style w:type="character" w:styleId="af">
    <w:name w:val="Hyperlink"/>
    <w:uiPriority w:val="99"/>
    <w:unhideWhenUsed/>
    <w:rsid w:val="006F7C4D"/>
    <w:rPr>
      <w:color w:val="0000FF"/>
      <w:u w:val="single"/>
    </w:rPr>
  </w:style>
  <w:style w:type="paragraph" w:styleId="af0">
    <w:name w:val="Revision"/>
    <w:hidden/>
    <w:uiPriority w:val="99"/>
    <w:semiHidden/>
    <w:rsid w:val="000C6F4E"/>
    <w:rPr>
      <w:rFonts w:eastAsia="Calibri"/>
      <w:sz w:val="24"/>
      <w:szCs w:val="24"/>
    </w:rPr>
  </w:style>
  <w:style w:type="paragraph" w:customStyle="1" w:styleId="ConsPlusNormal">
    <w:name w:val="ConsPlusNormal"/>
    <w:rsid w:val="00FC496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semiHidden/>
    <w:unhideWhenUsed/>
    <w:rsid w:val="00FC49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C49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ubclauseindent">
    <w:name w:val="subclauseindent"/>
    <w:basedOn w:val="a"/>
    <w:uiPriority w:val="99"/>
    <w:rsid w:val="00FC4963"/>
    <w:pPr>
      <w:spacing w:before="120" w:after="120"/>
      <w:ind w:left="1701"/>
      <w:jc w:val="both"/>
    </w:pPr>
    <w:rPr>
      <w:rFonts w:eastAsia="Times New Roman"/>
      <w:sz w:val="22"/>
      <w:szCs w:val="20"/>
      <w:lang w:val="en-GB" w:eastAsia="en-US"/>
    </w:rPr>
  </w:style>
  <w:style w:type="paragraph" w:styleId="af1">
    <w:name w:val="Title"/>
    <w:basedOn w:val="a"/>
    <w:link w:val="12"/>
    <w:qFormat/>
    <w:rsid w:val="002975F5"/>
    <w:pPr>
      <w:spacing w:before="120"/>
      <w:jc w:val="center"/>
    </w:pPr>
    <w:rPr>
      <w:rFonts w:ascii="Garamond" w:eastAsia="Times New Roman" w:hAnsi="Garamond"/>
      <w:b/>
      <w:bCs/>
      <w:sz w:val="32"/>
    </w:rPr>
  </w:style>
  <w:style w:type="character" w:customStyle="1" w:styleId="af2">
    <w:name w:val="Название Знак"/>
    <w:basedOn w:val="a0"/>
    <w:rsid w:val="00297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link w:val="af1"/>
    <w:locked/>
    <w:rsid w:val="002975F5"/>
    <w:rPr>
      <w:rFonts w:ascii="Garamond" w:hAnsi="Garamond"/>
      <w:b/>
      <w:bCs/>
      <w:sz w:val="32"/>
      <w:szCs w:val="24"/>
    </w:rPr>
  </w:style>
  <w:style w:type="paragraph" w:styleId="af3">
    <w:name w:val="Body Text Indent"/>
    <w:basedOn w:val="a"/>
    <w:link w:val="af4"/>
    <w:uiPriority w:val="99"/>
    <w:unhideWhenUsed/>
    <w:rsid w:val="002975F5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975F5"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2975F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75F5"/>
    <w:rPr>
      <w:sz w:val="16"/>
      <w:szCs w:val="16"/>
    </w:rPr>
  </w:style>
  <w:style w:type="character" w:customStyle="1" w:styleId="a4">
    <w:name w:val="Абзац списка Знак"/>
    <w:link w:val="a3"/>
    <w:uiPriority w:val="34"/>
    <w:rsid w:val="002975F5"/>
    <w:rPr>
      <w:rFonts w:eastAsia="Calibri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E72B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E72B5"/>
    <w:rPr>
      <w:rFonts w:eastAsia="Calibri"/>
      <w:sz w:val="24"/>
      <w:szCs w:val="24"/>
    </w:rPr>
  </w:style>
  <w:style w:type="paragraph" w:styleId="af7">
    <w:name w:val="Body Text"/>
    <w:basedOn w:val="a"/>
    <w:link w:val="af8"/>
    <w:semiHidden/>
    <w:unhideWhenUsed/>
    <w:rsid w:val="00A8778E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8778E"/>
    <w:rPr>
      <w:rFonts w:eastAsia="Calibri"/>
      <w:sz w:val="24"/>
      <w:szCs w:val="24"/>
    </w:rPr>
  </w:style>
  <w:style w:type="paragraph" w:customStyle="1" w:styleId="Default">
    <w:name w:val="Default"/>
    <w:rsid w:val="00C3138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6B306-E14B-444C-B121-687EAD70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786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Ассоциации «НП Совет рынка»</vt:lpstr>
    </vt:vector>
  </TitlesOfParts>
  <Company>rosinter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Ассоциации «НП Совет рынка»</dc:title>
  <dc:creator>pii</dc:creator>
  <cp:lastModifiedBy>Константинова Евгения Александровна</cp:lastModifiedBy>
  <cp:revision>12</cp:revision>
  <cp:lastPrinted>2018-06-09T09:08:00Z</cp:lastPrinted>
  <dcterms:created xsi:type="dcterms:W3CDTF">2021-01-20T10:24:00Z</dcterms:created>
  <dcterms:modified xsi:type="dcterms:W3CDTF">2021-01-25T13:44:00Z</dcterms:modified>
</cp:coreProperties>
</file>