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24" w:rsidRDefault="00C83024" w:rsidP="00C83024">
      <w:pPr>
        <w:ind w:left="2127" w:right="2267"/>
        <w:jc w:val="both"/>
      </w:pPr>
      <w:r>
        <w:rPr>
          <w:noProof/>
          <w:lang w:eastAsia="ru-RU"/>
        </w:rPr>
        <w:drawing>
          <wp:inline distT="0" distB="0" distL="0" distR="0" wp14:anchorId="4C13B1C2" wp14:editId="2A97466E">
            <wp:extent cx="1771650" cy="457200"/>
            <wp:effectExtent l="19050" t="0" r="0" b="0"/>
            <wp:docPr id="1" name="Рисунок 1" descr="Рос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ссети"/>
                    <pic:cNvPicPr>
                      <a:picLocks noChangeAspect="1" noChangeArrowheads="1"/>
                    </pic:cNvPicPr>
                  </pic:nvPicPr>
                  <pic:blipFill>
                    <a:blip r:embed="rId8" cstate="print"/>
                    <a:srcRect/>
                    <a:stretch>
                      <a:fillRect/>
                    </a:stretch>
                  </pic:blipFill>
                  <pic:spPr bwMode="auto">
                    <a:xfrm>
                      <a:off x="0" y="0"/>
                      <a:ext cx="1781775" cy="459813"/>
                    </a:xfrm>
                    <a:prstGeom prst="rect">
                      <a:avLst/>
                    </a:prstGeom>
                    <a:noFill/>
                    <a:ln w="9525">
                      <a:noFill/>
                      <a:miter lim="800000"/>
                      <a:headEnd/>
                      <a:tailEnd/>
                    </a:ln>
                  </pic:spPr>
                </pic:pic>
              </a:graphicData>
            </a:graphic>
          </wp:inline>
        </w:drawing>
      </w:r>
    </w:p>
    <w:p w:rsidR="00C83024" w:rsidRPr="00831D43" w:rsidRDefault="00E70459" w:rsidP="00C83024">
      <w:pPr>
        <w:pStyle w:val="aa"/>
        <w:ind w:left="-142"/>
        <w:jc w:val="center"/>
        <w:rPr>
          <w:rStyle w:val="y"/>
          <w:rFonts w:ascii="Arial" w:hAnsi="Arial" w:cs="Arial"/>
          <w:sz w:val="22"/>
          <w:szCs w:val="22"/>
        </w:rPr>
      </w:pPr>
      <w:r w:rsidRPr="00831D43">
        <w:rPr>
          <w:rStyle w:val="y"/>
          <w:rFonts w:ascii="Arial" w:hAnsi="Arial" w:cs="Arial"/>
          <w:b/>
          <w:sz w:val="22"/>
          <w:szCs w:val="22"/>
        </w:rPr>
        <w:t>П</w:t>
      </w:r>
      <w:r w:rsidR="00C83024" w:rsidRPr="00831D43">
        <w:rPr>
          <w:rStyle w:val="y"/>
          <w:rFonts w:ascii="Arial" w:hAnsi="Arial" w:cs="Arial"/>
          <w:b/>
          <w:sz w:val="22"/>
          <w:szCs w:val="22"/>
        </w:rPr>
        <w:t xml:space="preserve">АО «Россети» объявляет финансовые результаты </w:t>
      </w:r>
      <w:r w:rsidR="00D65FCD">
        <w:rPr>
          <w:rStyle w:val="y"/>
          <w:rFonts w:ascii="Arial" w:hAnsi="Arial" w:cs="Arial"/>
          <w:b/>
          <w:sz w:val="22"/>
          <w:szCs w:val="22"/>
        </w:rPr>
        <w:t xml:space="preserve">за </w:t>
      </w:r>
      <w:r w:rsidR="00B47781">
        <w:rPr>
          <w:rStyle w:val="y"/>
          <w:rFonts w:ascii="Arial" w:hAnsi="Arial" w:cs="Arial"/>
          <w:b/>
          <w:sz w:val="22"/>
          <w:szCs w:val="22"/>
        </w:rPr>
        <w:t xml:space="preserve">6 месяцев </w:t>
      </w:r>
      <w:r w:rsidR="00D65FCD">
        <w:rPr>
          <w:rStyle w:val="y"/>
          <w:rFonts w:ascii="Arial" w:hAnsi="Arial" w:cs="Arial"/>
          <w:b/>
          <w:sz w:val="22"/>
          <w:szCs w:val="22"/>
        </w:rPr>
        <w:t>201</w:t>
      </w:r>
      <w:r w:rsidR="00B47781">
        <w:rPr>
          <w:rStyle w:val="y"/>
          <w:rFonts w:ascii="Arial" w:hAnsi="Arial" w:cs="Arial"/>
          <w:b/>
          <w:sz w:val="22"/>
          <w:szCs w:val="22"/>
        </w:rPr>
        <w:t>9</w:t>
      </w:r>
      <w:r w:rsidR="00D65FCD">
        <w:rPr>
          <w:rStyle w:val="y"/>
          <w:rFonts w:ascii="Arial" w:hAnsi="Arial" w:cs="Arial"/>
          <w:b/>
          <w:sz w:val="22"/>
          <w:szCs w:val="22"/>
        </w:rPr>
        <w:t xml:space="preserve"> год</w:t>
      </w:r>
      <w:r w:rsidR="00B47781">
        <w:rPr>
          <w:rStyle w:val="y"/>
          <w:rFonts w:ascii="Arial" w:hAnsi="Arial" w:cs="Arial"/>
          <w:b/>
          <w:sz w:val="22"/>
          <w:szCs w:val="22"/>
        </w:rPr>
        <w:t>а</w:t>
      </w:r>
      <w:r w:rsidR="00D65FCD">
        <w:rPr>
          <w:rStyle w:val="y"/>
          <w:rFonts w:ascii="Arial" w:hAnsi="Arial" w:cs="Arial"/>
          <w:b/>
          <w:sz w:val="22"/>
          <w:szCs w:val="22"/>
        </w:rPr>
        <w:t xml:space="preserve"> </w:t>
      </w:r>
      <w:r w:rsidR="00C83024" w:rsidRPr="00831D43">
        <w:rPr>
          <w:rStyle w:val="y"/>
          <w:rFonts w:ascii="Arial" w:hAnsi="Arial" w:cs="Arial"/>
          <w:b/>
          <w:sz w:val="22"/>
          <w:szCs w:val="22"/>
        </w:rPr>
        <w:t xml:space="preserve">по МСФО </w:t>
      </w:r>
    </w:p>
    <w:p w:rsidR="00141A45" w:rsidRPr="00831D43" w:rsidRDefault="0043195D" w:rsidP="007C4072">
      <w:pPr>
        <w:pStyle w:val="a8"/>
        <w:jc w:val="both"/>
        <w:rPr>
          <w:rFonts w:ascii="Arial" w:hAnsi="Arial" w:cs="Arial"/>
          <w:sz w:val="22"/>
          <w:szCs w:val="22"/>
        </w:rPr>
      </w:pPr>
      <w:r w:rsidRPr="00831D43">
        <w:rPr>
          <w:rStyle w:val="y"/>
          <w:rFonts w:ascii="Arial" w:hAnsi="Arial" w:cs="Arial"/>
          <w:b/>
          <w:sz w:val="22"/>
          <w:szCs w:val="22"/>
        </w:rPr>
        <w:t>29</w:t>
      </w:r>
      <w:r w:rsidR="00C83024" w:rsidRPr="00831D43">
        <w:rPr>
          <w:rStyle w:val="y"/>
          <w:rFonts w:ascii="Arial" w:hAnsi="Arial" w:cs="Arial"/>
          <w:b/>
          <w:sz w:val="22"/>
          <w:szCs w:val="22"/>
        </w:rPr>
        <w:t xml:space="preserve"> </w:t>
      </w:r>
      <w:r w:rsidR="00063664">
        <w:rPr>
          <w:rStyle w:val="y"/>
          <w:rFonts w:ascii="Arial" w:hAnsi="Arial" w:cs="Arial"/>
          <w:b/>
          <w:sz w:val="22"/>
          <w:szCs w:val="22"/>
        </w:rPr>
        <w:t>августа</w:t>
      </w:r>
      <w:r w:rsidR="00C83024" w:rsidRPr="00831D43">
        <w:rPr>
          <w:rStyle w:val="y"/>
          <w:rFonts w:ascii="Arial" w:hAnsi="Arial" w:cs="Arial"/>
          <w:b/>
          <w:sz w:val="22"/>
          <w:szCs w:val="22"/>
        </w:rPr>
        <w:t xml:space="preserve"> 201</w:t>
      </w:r>
      <w:r w:rsidR="00CF1EE6">
        <w:rPr>
          <w:rStyle w:val="y"/>
          <w:rFonts w:ascii="Arial" w:hAnsi="Arial" w:cs="Arial"/>
          <w:b/>
          <w:sz w:val="22"/>
          <w:szCs w:val="22"/>
        </w:rPr>
        <w:t>9</w:t>
      </w:r>
      <w:r w:rsidR="00C83024" w:rsidRPr="00831D43">
        <w:rPr>
          <w:rStyle w:val="y"/>
          <w:rFonts w:ascii="Arial" w:hAnsi="Arial" w:cs="Arial"/>
          <w:b/>
          <w:sz w:val="22"/>
          <w:szCs w:val="22"/>
        </w:rPr>
        <w:t xml:space="preserve"> г. Москва, Россия</w:t>
      </w:r>
      <w:r w:rsidR="00C83024" w:rsidRPr="00831D43">
        <w:rPr>
          <w:rFonts w:ascii="Arial" w:hAnsi="Arial" w:cs="Arial"/>
          <w:b/>
          <w:sz w:val="22"/>
          <w:szCs w:val="22"/>
          <w:lang w:eastAsia="en-US"/>
        </w:rPr>
        <w:t xml:space="preserve"> </w:t>
      </w:r>
      <w:r w:rsidR="00C83024" w:rsidRPr="00831D43">
        <w:rPr>
          <w:rFonts w:ascii="Arial" w:hAnsi="Arial" w:cs="Arial"/>
          <w:sz w:val="22"/>
          <w:szCs w:val="22"/>
          <w:lang w:eastAsia="en-US"/>
        </w:rPr>
        <w:t>–</w:t>
      </w:r>
      <w:r w:rsidR="00C83024" w:rsidRPr="00831D43">
        <w:rPr>
          <w:rFonts w:ascii="Arial" w:hAnsi="Arial" w:cs="Arial"/>
          <w:sz w:val="22"/>
          <w:szCs w:val="22"/>
        </w:rPr>
        <w:t xml:space="preserve"> </w:t>
      </w:r>
      <w:r w:rsidR="00C71BC7" w:rsidRPr="00831D43">
        <w:rPr>
          <w:rFonts w:ascii="Arial" w:hAnsi="Arial" w:cs="Arial"/>
          <w:sz w:val="22"/>
          <w:szCs w:val="22"/>
        </w:rPr>
        <w:t>П</w:t>
      </w:r>
      <w:r w:rsidR="00C83024" w:rsidRPr="00831D43">
        <w:rPr>
          <w:rFonts w:ascii="Arial" w:hAnsi="Arial" w:cs="Arial"/>
          <w:sz w:val="22"/>
          <w:szCs w:val="22"/>
        </w:rPr>
        <w:t xml:space="preserve">АО «Россети» </w:t>
      </w:r>
      <w:r w:rsidR="00C83024" w:rsidRPr="00831D43">
        <w:rPr>
          <w:rFonts w:ascii="Arial" w:hAnsi="Arial" w:cs="Arial"/>
          <w:sz w:val="22"/>
          <w:szCs w:val="22"/>
          <w:lang w:eastAsia="en-US"/>
        </w:rPr>
        <w:t>(</w:t>
      </w:r>
      <w:r w:rsidR="00C83024" w:rsidRPr="00831D43">
        <w:rPr>
          <w:rFonts w:ascii="Arial" w:hAnsi="Arial" w:cs="Arial"/>
          <w:sz w:val="22"/>
          <w:szCs w:val="22"/>
          <w:lang w:val="en-US" w:eastAsia="en-US"/>
        </w:rPr>
        <w:t>LSE</w:t>
      </w:r>
      <w:r w:rsidR="00C83024" w:rsidRPr="00831D43">
        <w:rPr>
          <w:rFonts w:ascii="Arial" w:hAnsi="Arial" w:cs="Arial"/>
          <w:sz w:val="22"/>
          <w:szCs w:val="22"/>
          <w:lang w:eastAsia="en-US"/>
        </w:rPr>
        <w:t xml:space="preserve">: </w:t>
      </w:r>
      <w:r w:rsidR="00C83024" w:rsidRPr="00831D43">
        <w:rPr>
          <w:rFonts w:ascii="Arial" w:hAnsi="Arial" w:cs="Arial"/>
          <w:sz w:val="22"/>
          <w:szCs w:val="22"/>
          <w:lang w:val="en-US" w:eastAsia="en-US"/>
        </w:rPr>
        <w:t>RSTI</w:t>
      </w:r>
      <w:r w:rsidR="00C83024" w:rsidRPr="00831D43">
        <w:rPr>
          <w:rFonts w:ascii="Arial" w:hAnsi="Arial" w:cs="Arial"/>
          <w:sz w:val="22"/>
          <w:szCs w:val="22"/>
          <w:lang w:eastAsia="en-US"/>
        </w:rPr>
        <w:t>) («</w:t>
      </w:r>
      <w:r w:rsidR="00141A45" w:rsidRPr="00831D43">
        <w:rPr>
          <w:rFonts w:ascii="Arial" w:hAnsi="Arial" w:cs="Arial"/>
          <w:sz w:val="22"/>
          <w:szCs w:val="22"/>
          <w:lang w:eastAsia="en-US"/>
        </w:rPr>
        <w:t>Общество</w:t>
      </w:r>
      <w:r w:rsidR="00C83024" w:rsidRPr="00831D43">
        <w:rPr>
          <w:rFonts w:ascii="Arial" w:hAnsi="Arial" w:cs="Arial"/>
          <w:sz w:val="22"/>
          <w:szCs w:val="22"/>
          <w:lang w:eastAsia="en-US"/>
        </w:rPr>
        <w:t xml:space="preserve">»), крупнейшая российская компания в секторе передачи и распределения электроэнергии, объявляет финансовые результаты </w:t>
      </w:r>
      <w:r w:rsidR="0004514A" w:rsidRPr="00831D43">
        <w:rPr>
          <w:rFonts w:ascii="Arial" w:hAnsi="Arial" w:cs="Arial"/>
          <w:sz w:val="22"/>
          <w:szCs w:val="22"/>
          <w:lang w:eastAsia="en-US"/>
        </w:rPr>
        <w:t xml:space="preserve">Группы компаний </w:t>
      </w:r>
      <w:r w:rsidR="00AD3A8F" w:rsidRPr="00831D43">
        <w:rPr>
          <w:rFonts w:ascii="Arial" w:hAnsi="Arial" w:cs="Arial"/>
          <w:sz w:val="22"/>
          <w:szCs w:val="22"/>
          <w:lang w:eastAsia="en-US"/>
        </w:rPr>
        <w:t>«</w:t>
      </w:r>
      <w:r w:rsidR="0004514A" w:rsidRPr="00831D43">
        <w:rPr>
          <w:rFonts w:ascii="Arial" w:hAnsi="Arial" w:cs="Arial"/>
          <w:sz w:val="22"/>
          <w:szCs w:val="22"/>
          <w:lang w:eastAsia="en-US"/>
        </w:rPr>
        <w:t>Россети</w:t>
      </w:r>
      <w:r w:rsidR="00AD3A8F" w:rsidRPr="00831D43">
        <w:rPr>
          <w:rFonts w:ascii="Arial" w:hAnsi="Arial" w:cs="Arial"/>
          <w:sz w:val="22"/>
          <w:szCs w:val="22"/>
          <w:lang w:eastAsia="en-US"/>
        </w:rPr>
        <w:t>»</w:t>
      </w:r>
      <w:r w:rsidR="0004514A" w:rsidRPr="00831D43">
        <w:rPr>
          <w:rFonts w:ascii="Arial" w:hAnsi="Arial" w:cs="Arial"/>
          <w:sz w:val="22"/>
          <w:szCs w:val="22"/>
          <w:lang w:eastAsia="en-US"/>
        </w:rPr>
        <w:t xml:space="preserve"> </w:t>
      </w:r>
      <w:r w:rsidR="00063664">
        <w:rPr>
          <w:rFonts w:ascii="Arial" w:hAnsi="Arial" w:cs="Arial"/>
          <w:sz w:val="22"/>
          <w:szCs w:val="22"/>
          <w:lang w:eastAsia="en-US"/>
        </w:rPr>
        <w:t>за 6 месяцев 2019</w:t>
      </w:r>
      <w:r w:rsidR="00D65FCD">
        <w:rPr>
          <w:rFonts w:ascii="Arial" w:hAnsi="Arial" w:cs="Arial"/>
          <w:sz w:val="22"/>
          <w:szCs w:val="22"/>
          <w:lang w:eastAsia="en-US"/>
        </w:rPr>
        <w:t xml:space="preserve"> год</w:t>
      </w:r>
      <w:r w:rsidR="00063664">
        <w:rPr>
          <w:rFonts w:ascii="Arial" w:hAnsi="Arial" w:cs="Arial"/>
          <w:sz w:val="22"/>
          <w:szCs w:val="22"/>
          <w:lang w:eastAsia="en-US"/>
        </w:rPr>
        <w:t>а</w:t>
      </w:r>
      <w:r w:rsidR="00D65FCD">
        <w:rPr>
          <w:rFonts w:ascii="Arial" w:hAnsi="Arial" w:cs="Arial"/>
          <w:sz w:val="22"/>
          <w:szCs w:val="22"/>
          <w:lang w:eastAsia="en-US"/>
        </w:rPr>
        <w:t xml:space="preserve"> </w:t>
      </w:r>
      <w:r w:rsidR="00C83024" w:rsidRPr="00831D43">
        <w:rPr>
          <w:rFonts w:ascii="Arial" w:hAnsi="Arial" w:cs="Arial"/>
          <w:sz w:val="22"/>
          <w:szCs w:val="22"/>
          <w:lang w:eastAsia="en-US"/>
        </w:rPr>
        <w:t>по МСФО.</w:t>
      </w:r>
    </w:p>
    <w:p w:rsidR="00C83024" w:rsidRPr="00831D43" w:rsidRDefault="00C83024" w:rsidP="007C4072">
      <w:pPr>
        <w:pStyle w:val="a8"/>
        <w:spacing w:before="0" w:beforeAutospacing="0" w:after="0" w:afterAutospacing="0"/>
        <w:jc w:val="both"/>
        <w:rPr>
          <w:rFonts w:ascii="Arial" w:hAnsi="Arial" w:cs="Arial"/>
          <w:b/>
          <w:sz w:val="22"/>
          <w:szCs w:val="22"/>
          <w:lang w:eastAsia="en-US"/>
        </w:rPr>
      </w:pPr>
      <w:r w:rsidRPr="00831D43">
        <w:rPr>
          <w:rFonts w:ascii="Arial" w:hAnsi="Arial" w:cs="Arial"/>
          <w:b/>
          <w:sz w:val="22"/>
          <w:szCs w:val="22"/>
          <w:lang w:eastAsia="en-US"/>
        </w:rPr>
        <w:t>Финансовые результаты</w:t>
      </w:r>
      <w:r w:rsidRPr="00C47F80">
        <w:rPr>
          <w:rFonts w:ascii="Arial" w:hAnsi="Arial" w:cs="Arial"/>
          <w:b/>
          <w:sz w:val="22"/>
          <w:szCs w:val="22"/>
          <w:lang w:eastAsia="en-US"/>
        </w:rPr>
        <w:t>:</w:t>
      </w:r>
    </w:p>
    <w:p w:rsidR="007C4072" w:rsidRPr="00831D43" w:rsidRDefault="007C4072" w:rsidP="007C4072">
      <w:pPr>
        <w:pStyle w:val="a8"/>
        <w:spacing w:before="0" w:beforeAutospacing="0" w:after="0" w:afterAutospacing="0"/>
        <w:jc w:val="both"/>
        <w:rPr>
          <w:rFonts w:ascii="Arial" w:hAnsi="Arial" w:cs="Arial"/>
          <w:b/>
          <w:sz w:val="22"/>
          <w:szCs w:val="22"/>
          <w:lang w:eastAsia="en-US"/>
        </w:rPr>
      </w:pPr>
    </w:p>
    <w:p w:rsidR="00A11E25" w:rsidRPr="00831D43" w:rsidRDefault="00A11E25" w:rsidP="007C4072">
      <w:pPr>
        <w:pStyle w:val="a8"/>
        <w:numPr>
          <w:ilvl w:val="0"/>
          <w:numId w:val="13"/>
        </w:numPr>
        <w:spacing w:before="0" w:beforeAutospacing="0" w:after="0" w:afterAutospacing="0"/>
        <w:jc w:val="both"/>
        <w:rPr>
          <w:rFonts w:ascii="Arial" w:hAnsi="Arial" w:cs="Arial"/>
          <w:sz w:val="22"/>
          <w:szCs w:val="22"/>
          <w:lang w:eastAsia="en-US"/>
        </w:rPr>
      </w:pPr>
      <w:r w:rsidRPr="00831D43">
        <w:rPr>
          <w:rFonts w:ascii="Arial" w:hAnsi="Arial" w:cs="Arial"/>
          <w:sz w:val="22"/>
          <w:szCs w:val="22"/>
          <w:lang w:eastAsia="en-US"/>
        </w:rPr>
        <w:t xml:space="preserve">Выручка: </w:t>
      </w:r>
      <w:r w:rsidR="00A021DC" w:rsidRPr="00A021DC">
        <w:rPr>
          <w:rFonts w:ascii="Arial" w:hAnsi="Arial" w:cs="Arial"/>
          <w:sz w:val="22"/>
          <w:szCs w:val="28"/>
        </w:rPr>
        <w:t>500,</w:t>
      </w:r>
      <w:r w:rsidR="0022796E">
        <w:rPr>
          <w:rFonts w:ascii="Arial" w:hAnsi="Arial" w:cs="Arial"/>
          <w:sz w:val="22"/>
          <w:szCs w:val="28"/>
        </w:rPr>
        <w:t>1</w:t>
      </w:r>
      <w:r w:rsidR="00A021DC" w:rsidRPr="00A021DC">
        <w:rPr>
          <w:rFonts w:ascii="Arial" w:hAnsi="Arial" w:cs="Arial"/>
          <w:sz w:val="22"/>
          <w:szCs w:val="28"/>
        </w:rPr>
        <w:t xml:space="preserve"> </w:t>
      </w:r>
      <w:r w:rsidRPr="00831D43">
        <w:rPr>
          <w:rFonts w:ascii="Arial" w:hAnsi="Arial" w:cs="Arial"/>
          <w:sz w:val="22"/>
          <w:szCs w:val="22"/>
          <w:lang w:eastAsia="en-US"/>
        </w:rPr>
        <w:t>млрд руб. (</w:t>
      </w:r>
      <w:r w:rsidR="00063664">
        <w:rPr>
          <w:rFonts w:ascii="Arial" w:hAnsi="Arial" w:cs="Arial"/>
          <w:sz w:val="22"/>
          <w:szCs w:val="22"/>
          <w:lang w:eastAsia="en-US"/>
        </w:rPr>
        <w:t>6м</w:t>
      </w:r>
      <w:r w:rsidR="0043195D" w:rsidRPr="00831D43">
        <w:rPr>
          <w:rFonts w:ascii="Arial" w:hAnsi="Arial" w:cs="Arial"/>
          <w:sz w:val="22"/>
          <w:szCs w:val="22"/>
          <w:lang w:eastAsia="en-US"/>
        </w:rPr>
        <w:t>201</w:t>
      </w:r>
      <w:r w:rsidR="00063664">
        <w:rPr>
          <w:rFonts w:ascii="Arial" w:hAnsi="Arial" w:cs="Arial"/>
          <w:sz w:val="22"/>
          <w:szCs w:val="22"/>
          <w:lang w:eastAsia="en-US"/>
        </w:rPr>
        <w:t>8</w:t>
      </w:r>
      <w:r w:rsidR="00E33C5C">
        <w:rPr>
          <w:rStyle w:val="ad"/>
          <w:rFonts w:ascii="Arial" w:hAnsi="Arial" w:cs="Arial"/>
          <w:sz w:val="22"/>
          <w:szCs w:val="22"/>
          <w:lang w:eastAsia="en-US"/>
        </w:rPr>
        <w:footnoteReference w:id="1"/>
      </w:r>
      <w:r w:rsidR="0043195D" w:rsidRPr="00831D43">
        <w:rPr>
          <w:rFonts w:ascii="Arial" w:hAnsi="Arial" w:cs="Arial"/>
          <w:sz w:val="22"/>
          <w:szCs w:val="22"/>
          <w:lang w:eastAsia="en-US"/>
        </w:rPr>
        <w:t>:</w:t>
      </w:r>
      <w:r w:rsidRPr="00831D43">
        <w:rPr>
          <w:rFonts w:ascii="Arial" w:hAnsi="Arial" w:cs="Arial"/>
          <w:sz w:val="22"/>
          <w:szCs w:val="22"/>
          <w:lang w:eastAsia="en-US"/>
        </w:rPr>
        <w:t xml:space="preserve"> </w:t>
      </w:r>
      <w:r w:rsidR="00A021DC" w:rsidRPr="00A021DC">
        <w:rPr>
          <w:rFonts w:ascii="Arial" w:hAnsi="Arial" w:cs="Arial"/>
          <w:sz w:val="22"/>
          <w:szCs w:val="22"/>
          <w:lang w:eastAsia="en-US"/>
        </w:rPr>
        <w:t>485,3</w:t>
      </w:r>
      <w:r w:rsidR="00A021DC">
        <w:rPr>
          <w:rFonts w:ascii="Arial" w:hAnsi="Arial" w:cs="Arial"/>
          <w:sz w:val="28"/>
          <w:szCs w:val="28"/>
        </w:rPr>
        <w:t xml:space="preserve"> </w:t>
      </w:r>
      <w:r w:rsidRPr="00831D43">
        <w:rPr>
          <w:rFonts w:ascii="Arial" w:hAnsi="Arial" w:cs="Arial"/>
          <w:sz w:val="22"/>
          <w:szCs w:val="22"/>
          <w:lang w:eastAsia="en-US"/>
        </w:rPr>
        <w:t xml:space="preserve">млрд руб.) </w:t>
      </w:r>
    </w:p>
    <w:p w:rsidR="00A11E25" w:rsidRPr="00A021DC" w:rsidRDefault="00A11E25" w:rsidP="007C4072">
      <w:pPr>
        <w:pStyle w:val="a8"/>
        <w:numPr>
          <w:ilvl w:val="0"/>
          <w:numId w:val="13"/>
        </w:numPr>
        <w:spacing w:before="0" w:beforeAutospacing="0" w:after="0" w:afterAutospacing="0"/>
        <w:jc w:val="both"/>
        <w:rPr>
          <w:rFonts w:ascii="Arial" w:hAnsi="Arial" w:cs="Arial"/>
          <w:sz w:val="22"/>
          <w:szCs w:val="22"/>
          <w:lang w:eastAsia="en-US"/>
        </w:rPr>
      </w:pPr>
      <w:r w:rsidRPr="00A021DC">
        <w:rPr>
          <w:rFonts w:ascii="Arial" w:hAnsi="Arial" w:cs="Arial"/>
          <w:sz w:val="22"/>
          <w:szCs w:val="22"/>
          <w:lang w:eastAsia="en-US"/>
        </w:rPr>
        <w:t xml:space="preserve">EBITDA: </w:t>
      </w:r>
      <w:r w:rsidR="00A021DC" w:rsidRPr="00A021DC">
        <w:rPr>
          <w:rFonts w:ascii="Arial" w:hAnsi="Arial" w:cs="Arial"/>
          <w:sz w:val="22"/>
          <w:szCs w:val="22"/>
        </w:rPr>
        <w:t>16</w:t>
      </w:r>
      <w:r w:rsidR="00D11063">
        <w:rPr>
          <w:rFonts w:ascii="Arial" w:hAnsi="Arial" w:cs="Arial"/>
          <w:sz w:val="22"/>
          <w:szCs w:val="22"/>
        </w:rPr>
        <w:t>7</w:t>
      </w:r>
      <w:r w:rsidR="00A021DC" w:rsidRPr="00A021DC">
        <w:rPr>
          <w:rFonts w:ascii="Arial" w:hAnsi="Arial" w:cs="Arial"/>
          <w:sz w:val="22"/>
          <w:szCs w:val="22"/>
        </w:rPr>
        <w:t>,</w:t>
      </w:r>
      <w:r w:rsidR="00D11063">
        <w:rPr>
          <w:rFonts w:ascii="Arial" w:hAnsi="Arial" w:cs="Arial"/>
          <w:sz w:val="22"/>
          <w:szCs w:val="22"/>
        </w:rPr>
        <w:t>7</w:t>
      </w:r>
      <w:r w:rsidR="00A021DC" w:rsidRPr="00A021DC">
        <w:rPr>
          <w:rFonts w:ascii="Arial" w:hAnsi="Arial" w:cs="Arial"/>
          <w:sz w:val="22"/>
          <w:szCs w:val="22"/>
        </w:rPr>
        <w:t xml:space="preserve"> </w:t>
      </w:r>
      <w:r w:rsidR="00CF1EE6" w:rsidRPr="00A021DC">
        <w:rPr>
          <w:rFonts w:ascii="Arial" w:hAnsi="Arial" w:cs="Arial"/>
          <w:sz w:val="22"/>
          <w:szCs w:val="22"/>
          <w:lang w:eastAsia="en-US"/>
        </w:rPr>
        <w:t>млрд руб. (</w:t>
      </w:r>
      <w:r w:rsidR="0094203A" w:rsidRPr="00A021DC">
        <w:rPr>
          <w:rFonts w:ascii="Arial" w:hAnsi="Arial" w:cs="Arial"/>
          <w:sz w:val="22"/>
          <w:szCs w:val="22"/>
          <w:lang w:eastAsia="en-US"/>
        </w:rPr>
        <w:t>6м2018</w:t>
      </w:r>
      <w:r w:rsidR="00E33C5C" w:rsidRPr="00E33C5C">
        <w:rPr>
          <w:rFonts w:ascii="Arial" w:hAnsi="Arial" w:cs="Arial"/>
          <w:sz w:val="22"/>
          <w:szCs w:val="22"/>
          <w:vertAlign w:val="superscript"/>
          <w:lang w:eastAsia="en-US"/>
        </w:rPr>
        <w:t>1</w:t>
      </w:r>
      <w:r w:rsidR="0043195D" w:rsidRPr="00A021DC">
        <w:rPr>
          <w:rFonts w:ascii="Arial" w:hAnsi="Arial" w:cs="Arial"/>
          <w:sz w:val="22"/>
          <w:szCs w:val="22"/>
          <w:lang w:eastAsia="en-US"/>
        </w:rPr>
        <w:t xml:space="preserve">: </w:t>
      </w:r>
      <w:r w:rsidR="00A021DC" w:rsidRPr="00A021DC">
        <w:rPr>
          <w:rFonts w:ascii="Arial" w:hAnsi="Arial" w:cs="Arial"/>
          <w:sz w:val="22"/>
          <w:szCs w:val="22"/>
        </w:rPr>
        <w:t>146,7</w:t>
      </w:r>
      <w:r w:rsidR="0043195D" w:rsidRPr="00A021DC">
        <w:rPr>
          <w:rFonts w:ascii="Arial" w:hAnsi="Arial" w:cs="Arial"/>
          <w:sz w:val="22"/>
          <w:szCs w:val="22"/>
          <w:lang w:eastAsia="en-US"/>
        </w:rPr>
        <w:t>млрд руб.</w:t>
      </w:r>
      <w:r w:rsidRPr="00A021DC">
        <w:rPr>
          <w:rFonts w:ascii="Arial" w:hAnsi="Arial" w:cs="Arial"/>
          <w:sz w:val="22"/>
          <w:szCs w:val="22"/>
          <w:lang w:eastAsia="en-US"/>
        </w:rPr>
        <w:t>)</w:t>
      </w:r>
    </w:p>
    <w:p w:rsidR="00A11E25" w:rsidRPr="00A021DC" w:rsidRDefault="00A11E25" w:rsidP="0043195D">
      <w:pPr>
        <w:pStyle w:val="a8"/>
        <w:numPr>
          <w:ilvl w:val="0"/>
          <w:numId w:val="13"/>
        </w:numPr>
        <w:spacing w:before="0" w:beforeAutospacing="0" w:after="0" w:afterAutospacing="0"/>
        <w:jc w:val="both"/>
        <w:rPr>
          <w:rFonts w:ascii="Arial" w:hAnsi="Arial" w:cs="Arial"/>
          <w:sz w:val="22"/>
          <w:szCs w:val="22"/>
          <w:lang w:eastAsia="en-US"/>
        </w:rPr>
      </w:pPr>
      <w:r w:rsidRPr="00831D43">
        <w:rPr>
          <w:rFonts w:ascii="Arial" w:hAnsi="Arial" w:cs="Arial"/>
          <w:sz w:val="22"/>
          <w:szCs w:val="22"/>
          <w:lang w:eastAsia="en-US"/>
        </w:rPr>
        <w:t>Чистая прибыль:</w:t>
      </w:r>
      <w:r w:rsidR="00A021DC">
        <w:rPr>
          <w:rFonts w:ascii="Arial" w:hAnsi="Arial" w:cs="Arial"/>
          <w:sz w:val="28"/>
          <w:szCs w:val="28"/>
        </w:rPr>
        <w:t xml:space="preserve"> </w:t>
      </w:r>
      <w:r w:rsidR="00A021DC" w:rsidRPr="00A021DC">
        <w:rPr>
          <w:rFonts w:ascii="Arial" w:hAnsi="Arial" w:cs="Arial"/>
          <w:sz w:val="22"/>
          <w:szCs w:val="22"/>
        </w:rPr>
        <w:t>6</w:t>
      </w:r>
      <w:r w:rsidR="00E75A0F">
        <w:rPr>
          <w:rFonts w:ascii="Arial" w:hAnsi="Arial" w:cs="Arial"/>
          <w:sz w:val="22"/>
          <w:szCs w:val="22"/>
        </w:rPr>
        <w:t>7,9</w:t>
      </w:r>
      <w:r w:rsidR="006C67DF" w:rsidRPr="00A021DC">
        <w:rPr>
          <w:rFonts w:ascii="Arial" w:hAnsi="Arial" w:cs="Arial"/>
          <w:sz w:val="22"/>
          <w:szCs w:val="22"/>
        </w:rPr>
        <w:t xml:space="preserve"> </w:t>
      </w:r>
      <w:r w:rsidRPr="00A021DC">
        <w:rPr>
          <w:rFonts w:ascii="Arial" w:hAnsi="Arial" w:cs="Arial"/>
          <w:sz w:val="22"/>
          <w:szCs w:val="22"/>
          <w:lang w:eastAsia="en-US"/>
        </w:rPr>
        <w:t>млрд руб. (</w:t>
      </w:r>
      <w:r w:rsidR="0094203A" w:rsidRPr="00A021DC">
        <w:rPr>
          <w:rFonts w:ascii="Arial" w:hAnsi="Arial" w:cs="Arial"/>
          <w:sz w:val="22"/>
          <w:szCs w:val="22"/>
          <w:lang w:eastAsia="en-US"/>
        </w:rPr>
        <w:t>6м2018</w:t>
      </w:r>
      <w:r w:rsidR="00E33C5C" w:rsidRPr="00E33C5C">
        <w:rPr>
          <w:rFonts w:ascii="Arial" w:hAnsi="Arial" w:cs="Arial"/>
          <w:sz w:val="22"/>
          <w:szCs w:val="22"/>
          <w:vertAlign w:val="superscript"/>
          <w:lang w:eastAsia="en-US"/>
        </w:rPr>
        <w:t>1</w:t>
      </w:r>
      <w:r w:rsidR="0043195D" w:rsidRPr="00A021DC">
        <w:rPr>
          <w:rFonts w:ascii="Arial" w:hAnsi="Arial" w:cs="Arial"/>
          <w:sz w:val="22"/>
          <w:szCs w:val="22"/>
          <w:lang w:eastAsia="en-US"/>
        </w:rPr>
        <w:t xml:space="preserve">: </w:t>
      </w:r>
      <w:r w:rsidR="00A021DC" w:rsidRPr="00A021DC">
        <w:rPr>
          <w:rFonts w:ascii="Arial" w:hAnsi="Arial" w:cs="Arial"/>
          <w:sz w:val="22"/>
          <w:szCs w:val="22"/>
        </w:rPr>
        <w:t>59,1</w:t>
      </w:r>
      <w:r w:rsidR="0043195D" w:rsidRPr="00A021DC">
        <w:rPr>
          <w:rFonts w:ascii="Arial" w:hAnsi="Arial" w:cs="Arial"/>
          <w:sz w:val="22"/>
          <w:szCs w:val="22"/>
          <w:lang w:eastAsia="en-US"/>
        </w:rPr>
        <w:t>млрд руб.</w:t>
      </w:r>
      <w:r w:rsidRPr="00A021DC">
        <w:rPr>
          <w:rFonts w:ascii="Arial" w:hAnsi="Arial" w:cs="Arial"/>
          <w:sz w:val="22"/>
          <w:szCs w:val="22"/>
          <w:lang w:eastAsia="en-US"/>
        </w:rPr>
        <w:t>)</w:t>
      </w:r>
    </w:p>
    <w:p w:rsidR="00A11E25" w:rsidRPr="00A021DC" w:rsidRDefault="00A11E25" w:rsidP="0043195D">
      <w:pPr>
        <w:pStyle w:val="a8"/>
        <w:numPr>
          <w:ilvl w:val="0"/>
          <w:numId w:val="13"/>
        </w:numPr>
        <w:spacing w:before="0" w:beforeAutospacing="0" w:after="0" w:afterAutospacing="0"/>
        <w:jc w:val="both"/>
        <w:rPr>
          <w:rFonts w:ascii="Arial" w:hAnsi="Arial" w:cs="Arial"/>
          <w:sz w:val="22"/>
          <w:szCs w:val="22"/>
          <w:lang w:eastAsia="en-US"/>
        </w:rPr>
      </w:pPr>
      <w:r w:rsidRPr="00A021DC">
        <w:rPr>
          <w:rFonts w:ascii="Arial" w:hAnsi="Arial" w:cs="Arial"/>
          <w:sz w:val="22"/>
          <w:szCs w:val="22"/>
          <w:lang w:eastAsia="en-US"/>
        </w:rPr>
        <w:t xml:space="preserve">Чистый денежный поток от операционной деятельности: </w:t>
      </w:r>
      <w:r w:rsidR="009D1FED">
        <w:rPr>
          <w:rFonts w:ascii="Arial" w:hAnsi="Arial" w:cs="Arial"/>
          <w:sz w:val="22"/>
          <w:szCs w:val="22"/>
        </w:rPr>
        <w:t>103</w:t>
      </w:r>
      <w:r w:rsidR="005D1BC7">
        <w:rPr>
          <w:rFonts w:ascii="Arial" w:hAnsi="Arial" w:cs="Arial"/>
          <w:sz w:val="22"/>
          <w:szCs w:val="22"/>
        </w:rPr>
        <w:t>,0</w:t>
      </w:r>
      <w:r w:rsidR="00A021DC" w:rsidRPr="00A021DC">
        <w:rPr>
          <w:rFonts w:ascii="Arial" w:hAnsi="Arial" w:cs="Arial"/>
          <w:sz w:val="22"/>
          <w:szCs w:val="22"/>
        </w:rPr>
        <w:t xml:space="preserve"> </w:t>
      </w:r>
      <w:r w:rsidR="00F03A9F" w:rsidRPr="00A021DC">
        <w:rPr>
          <w:rFonts w:ascii="Arial" w:hAnsi="Arial" w:cs="Arial"/>
          <w:sz w:val="22"/>
          <w:szCs w:val="22"/>
          <w:lang w:eastAsia="en-US"/>
        </w:rPr>
        <w:t>млрд</w:t>
      </w:r>
      <w:r w:rsidRPr="00A021DC">
        <w:rPr>
          <w:rFonts w:ascii="Arial" w:hAnsi="Arial" w:cs="Arial"/>
          <w:sz w:val="22"/>
          <w:szCs w:val="22"/>
          <w:lang w:eastAsia="en-US"/>
        </w:rPr>
        <w:t xml:space="preserve"> руб. (</w:t>
      </w:r>
      <w:r w:rsidR="0094203A" w:rsidRPr="00A021DC">
        <w:rPr>
          <w:rFonts w:ascii="Arial" w:hAnsi="Arial" w:cs="Arial"/>
          <w:sz w:val="22"/>
          <w:szCs w:val="22"/>
          <w:lang w:eastAsia="en-US"/>
        </w:rPr>
        <w:t>6м2018</w:t>
      </w:r>
      <w:r w:rsidR="00E33C5C" w:rsidRPr="00E33C5C">
        <w:rPr>
          <w:rFonts w:ascii="Arial" w:hAnsi="Arial" w:cs="Arial"/>
          <w:sz w:val="22"/>
          <w:szCs w:val="22"/>
          <w:vertAlign w:val="superscript"/>
          <w:lang w:eastAsia="en-US"/>
        </w:rPr>
        <w:t>1</w:t>
      </w:r>
      <w:r w:rsidR="0043195D" w:rsidRPr="00A021DC">
        <w:rPr>
          <w:rFonts w:ascii="Arial" w:hAnsi="Arial" w:cs="Arial"/>
          <w:sz w:val="22"/>
          <w:szCs w:val="22"/>
          <w:lang w:eastAsia="en-US"/>
        </w:rPr>
        <w:t>:</w:t>
      </w:r>
      <w:r w:rsidR="003403B5" w:rsidRPr="00A021DC">
        <w:rPr>
          <w:rFonts w:ascii="Arial" w:hAnsi="Arial" w:cs="Arial"/>
          <w:sz w:val="22"/>
          <w:szCs w:val="22"/>
          <w:lang w:eastAsia="en-US"/>
        </w:rPr>
        <w:t xml:space="preserve"> </w:t>
      </w:r>
      <w:r w:rsidR="00A021DC" w:rsidRPr="00A021DC">
        <w:rPr>
          <w:rFonts w:ascii="Arial" w:hAnsi="Arial" w:cs="Arial"/>
          <w:sz w:val="22"/>
          <w:szCs w:val="22"/>
        </w:rPr>
        <w:t xml:space="preserve">106,8 </w:t>
      </w:r>
      <w:r w:rsidR="0043195D" w:rsidRPr="00A021DC">
        <w:rPr>
          <w:rFonts w:ascii="Arial" w:hAnsi="Arial" w:cs="Arial"/>
          <w:sz w:val="22"/>
          <w:szCs w:val="22"/>
          <w:lang w:eastAsia="en-US"/>
        </w:rPr>
        <w:t>млрд руб.</w:t>
      </w:r>
      <w:r w:rsidRPr="00A021DC">
        <w:rPr>
          <w:rFonts w:ascii="Arial" w:hAnsi="Arial" w:cs="Arial"/>
          <w:sz w:val="22"/>
          <w:szCs w:val="22"/>
          <w:lang w:eastAsia="en-US"/>
        </w:rPr>
        <w:t>)</w:t>
      </w:r>
    </w:p>
    <w:p w:rsidR="00F407AF" w:rsidRPr="00831D43" w:rsidRDefault="00F407AF" w:rsidP="00F407AF">
      <w:pPr>
        <w:pStyle w:val="a8"/>
        <w:spacing w:before="0" w:beforeAutospacing="0" w:after="0" w:afterAutospacing="0"/>
        <w:ind w:left="360"/>
        <w:jc w:val="both"/>
        <w:rPr>
          <w:rFonts w:ascii="Arial" w:hAnsi="Arial" w:cs="Arial"/>
          <w:sz w:val="22"/>
          <w:szCs w:val="22"/>
          <w:lang w:eastAsia="en-US"/>
        </w:rPr>
      </w:pPr>
    </w:p>
    <w:p w:rsidR="007C4072" w:rsidRPr="008C3756" w:rsidRDefault="007C4072" w:rsidP="007C4072">
      <w:pPr>
        <w:pStyle w:val="a8"/>
        <w:spacing w:before="0" w:beforeAutospacing="0" w:after="0" w:afterAutospacing="0"/>
        <w:jc w:val="both"/>
        <w:rPr>
          <w:rFonts w:ascii="Arial" w:hAnsi="Arial" w:cs="Arial"/>
          <w:b/>
          <w:sz w:val="22"/>
          <w:szCs w:val="22"/>
        </w:rPr>
      </w:pPr>
    </w:p>
    <w:p w:rsidR="004A353E" w:rsidRPr="008C3756" w:rsidRDefault="004A353E" w:rsidP="007C4072">
      <w:pPr>
        <w:pStyle w:val="a8"/>
        <w:spacing w:before="0" w:beforeAutospacing="0" w:after="0" w:afterAutospacing="0"/>
        <w:jc w:val="both"/>
        <w:rPr>
          <w:rFonts w:ascii="Arial" w:hAnsi="Arial" w:cs="Arial"/>
          <w:b/>
          <w:sz w:val="22"/>
          <w:szCs w:val="22"/>
        </w:rPr>
      </w:pPr>
      <w:r w:rsidRPr="008C3756">
        <w:rPr>
          <w:rFonts w:ascii="Arial" w:hAnsi="Arial" w:cs="Arial"/>
          <w:b/>
          <w:sz w:val="22"/>
          <w:szCs w:val="22"/>
        </w:rPr>
        <w:t>Основные корпоративные события:</w:t>
      </w:r>
    </w:p>
    <w:p w:rsidR="00383098" w:rsidRPr="008C3756" w:rsidRDefault="00383098" w:rsidP="006C67DF">
      <w:pPr>
        <w:spacing w:after="0" w:line="240" w:lineRule="auto"/>
        <w:jc w:val="both"/>
        <w:rPr>
          <w:rFonts w:ascii="Arial" w:hAnsi="Arial" w:cs="Arial"/>
          <w:color w:val="000000" w:themeColor="text1"/>
        </w:rPr>
      </w:pPr>
    </w:p>
    <w:p w:rsidR="008C3756" w:rsidRPr="008C3756" w:rsidRDefault="008C3756" w:rsidP="008C3756">
      <w:pPr>
        <w:pStyle w:val="a8"/>
        <w:numPr>
          <w:ilvl w:val="0"/>
          <w:numId w:val="13"/>
        </w:numPr>
        <w:spacing w:before="0" w:beforeAutospacing="0" w:after="0" w:afterAutospacing="0"/>
        <w:jc w:val="both"/>
        <w:rPr>
          <w:rFonts w:ascii="Arial" w:hAnsi="Arial" w:cs="Arial"/>
          <w:color w:val="000000" w:themeColor="text1"/>
          <w:sz w:val="22"/>
          <w:szCs w:val="22"/>
        </w:rPr>
      </w:pPr>
      <w:r w:rsidRPr="008C3756">
        <w:rPr>
          <w:rFonts w:ascii="Arial" w:hAnsi="Arial" w:cs="Arial"/>
          <w:color w:val="000000" w:themeColor="text1"/>
          <w:sz w:val="22"/>
          <w:szCs w:val="22"/>
        </w:rPr>
        <w:t xml:space="preserve">12.02.2019 международным рейтинговым агентством Moody’s </w:t>
      </w:r>
      <w:proofErr w:type="spellStart"/>
      <w:r w:rsidRPr="008C3756">
        <w:rPr>
          <w:rFonts w:ascii="Arial" w:hAnsi="Arial" w:cs="Arial"/>
          <w:color w:val="000000" w:themeColor="text1"/>
          <w:sz w:val="22"/>
          <w:szCs w:val="22"/>
        </w:rPr>
        <w:t>Investors</w:t>
      </w:r>
      <w:proofErr w:type="spellEnd"/>
      <w:r w:rsidRPr="008C3756">
        <w:rPr>
          <w:rFonts w:ascii="Arial" w:hAnsi="Arial" w:cs="Arial"/>
          <w:color w:val="000000" w:themeColor="text1"/>
          <w:sz w:val="22"/>
          <w:szCs w:val="22"/>
        </w:rPr>
        <w:t xml:space="preserve"> </w:t>
      </w:r>
      <w:proofErr w:type="spellStart"/>
      <w:r w:rsidRPr="008C3756">
        <w:rPr>
          <w:rFonts w:ascii="Arial" w:hAnsi="Arial" w:cs="Arial"/>
          <w:color w:val="000000" w:themeColor="text1"/>
          <w:sz w:val="22"/>
          <w:szCs w:val="22"/>
        </w:rPr>
        <w:t>Service</w:t>
      </w:r>
      <w:proofErr w:type="spellEnd"/>
      <w:r w:rsidRPr="008C3756">
        <w:rPr>
          <w:rFonts w:ascii="Arial" w:hAnsi="Arial" w:cs="Arial"/>
          <w:color w:val="000000" w:themeColor="text1"/>
          <w:sz w:val="22"/>
          <w:szCs w:val="22"/>
        </w:rPr>
        <w:t xml:space="preserve"> повышен долгосрочный рейтинг кредитоспособности ПАО «Россети» </w:t>
      </w:r>
      <w:r w:rsidR="00FA7D0E">
        <w:rPr>
          <w:rFonts w:ascii="Arial" w:hAnsi="Arial" w:cs="Arial"/>
          <w:color w:val="000000" w:themeColor="text1"/>
          <w:sz w:val="22"/>
          <w:szCs w:val="22"/>
        </w:rPr>
        <w:t xml:space="preserve">и ПАО «ФСК ЕЭС» </w:t>
      </w:r>
      <w:r w:rsidRPr="008C3756">
        <w:rPr>
          <w:rFonts w:ascii="Arial" w:hAnsi="Arial" w:cs="Arial"/>
          <w:color w:val="000000" w:themeColor="text1"/>
          <w:sz w:val="22"/>
          <w:szCs w:val="22"/>
        </w:rPr>
        <w:t>до инвестиционного уровня «Baa3» по международной шкале со стабильным прогнозом</w:t>
      </w:r>
    </w:p>
    <w:p w:rsidR="008C3756" w:rsidRPr="008C3756" w:rsidRDefault="008C3756" w:rsidP="008C3756">
      <w:pPr>
        <w:pStyle w:val="a8"/>
        <w:spacing w:before="0" w:beforeAutospacing="0" w:after="0" w:afterAutospacing="0"/>
        <w:ind w:left="360"/>
        <w:jc w:val="both"/>
        <w:rPr>
          <w:rFonts w:ascii="Arial" w:hAnsi="Arial" w:cs="Arial"/>
          <w:color w:val="000000" w:themeColor="text1"/>
          <w:sz w:val="22"/>
          <w:szCs w:val="22"/>
        </w:rPr>
      </w:pPr>
    </w:p>
    <w:p w:rsidR="008C3756" w:rsidRPr="008C3756" w:rsidRDefault="008C3756" w:rsidP="008C3756">
      <w:pPr>
        <w:pStyle w:val="a8"/>
        <w:numPr>
          <w:ilvl w:val="0"/>
          <w:numId w:val="13"/>
        </w:numPr>
        <w:spacing w:before="0" w:beforeAutospacing="0" w:after="0" w:afterAutospacing="0"/>
        <w:jc w:val="both"/>
        <w:rPr>
          <w:rFonts w:ascii="Arial" w:hAnsi="Arial" w:cs="Arial"/>
          <w:color w:val="000000" w:themeColor="text1"/>
          <w:sz w:val="22"/>
          <w:szCs w:val="22"/>
        </w:rPr>
      </w:pPr>
      <w:r w:rsidRPr="008C3756">
        <w:rPr>
          <w:rFonts w:ascii="Arial" w:hAnsi="Arial" w:cs="Arial"/>
          <w:color w:val="000000" w:themeColor="text1"/>
          <w:sz w:val="22"/>
          <w:szCs w:val="22"/>
        </w:rPr>
        <w:t>28.02.2019 кредитным рейтинговым агентством АКРА подтвержден кредитный рейтинг ПАО «Россети» по национальной шкале на уровне ААА(RU), прогноз «Стабильный»</w:t>
      </w:r>
    </w:p>
    <w:p w:rsidR="008C3756" w:rsidRPr="008C3756" w:rsidRDefault="008C3756" w:rsidP="008C3756">
      <w:pPr>
        <w:pStyle w:val="a8"/>
        <w:spacing w:before="0" w:beforeAutospacing="0" w:after="0" w:afterAutospacing="0"/>
        <w:ind w:left="360"/>
        <w:jc w:val="both"/>
        <w:rPr>
          <w:rFonts w:ascii="Arial" w:hAnsi="Arial" w:cs="Arial"/>
          <w:color w:val="000000" w:themeColor="text1"/>
          <w:sz w:val="22"/>
          <w:szCs w:val="22"/>
        </w:rPr>
      </w:pPr>
    </w:p>
    <w:p w:rsidR="005668C6" w:rsidRPr="008C3756" w:rsidRDefault="005668C6" w:rsidP="005668C6">
      <w:pPr>
        <w:pStyle w:val="a8"/>
        <w:numPr>
          <w:ilvl w:val="0"/>
          <w:numId w:val="13"/>
        </w:numPr>
        <w:spacing w:before="0" w:beforeAutospacing="0" w:after="0" w:afterAutospacing="0"/>
        <w:jc w:val="both"/>
        <w:rPr>
          <w:rFonts w:ascii="Arial" w:hAnsi="Arial" w:cs="Arial"/>
          <w:color w:val="000000" w:themeColor="text1"/>
          <w:sz w:val="22"/>
          <w:szCs w:val="22"/>
        </w:rPr>
      </w:pPr>
      <w:r w:rsidRPr="008C3756">
        <w:rPr>
          <w:rFonts w:ascii="Arial" w:hAnsi="Arial" w:cs="Arial"/>
          <w:color w:val="000000" w:themeColor="text1"/>
          <w:sz w:val="22"/>
          <w:szCs w:val="22"/>
        </w:rPr>
        <w:t xml:space="preserve">18.04.2019 Советом директоров </w:t>
      </w:r>
      <w:r w:rsidR="008C3756" w:rsidRPr="008C3756">
        <w:rPr>
          <w:rFonts w:ascii="Arial" w:hAnsi="Arial" w:cs="Arial"/>
          <w:color w:val="000000" w:themeColor="text1"/>
          <w:sz w:val="22"/>
          <w:szCs w:val="22"/>
        </w:rPr>
        <w:t xml:space="preserve">ПАО «Россети» </w:t>
      </w:r>
      <w:r w:rsidRPr="008C3756">
        <w:rPr>
          <w:rFonts w:ascii="Arial" w:hAnsi="Arial" w:cs="Arial"/>
          <w:color w:val="000000" w:themeColor="text1"/>
          <w:sz w:val="22"/>
          <w:szCs w:val="22"/>
        </w:rPr>
        <w:t>утвержден перечень</w:t>
      </w:r>
      <w:r w:rsidRPr="008C3756">
        <w:rPr>
          <w:sz w:val="22"/>
          <w:szCs w:val="22"/>
        </w:rPr>
        <w:t xml:space="preserve"> </w:t>
      </w:r>
      <w:r w:rsidRPr="008C3756">
        <w:rPr>
          <w:rFonts w:ascii="Arial" w:hAnsi="Arial" w:cs="Arial"/>
          <w:color w:val="000000" w:themeColor="text1"/>
          <w:sz w:val="22"/>
          <w:szCs w:val="22"/>
        </w:rPr>
        <w:t>пилотных проектов в рамках реализации Концепции «Цифровая трансформация 2030»</w:t>
      </w:r>
    </w:p>
    <w:p w:rsidR="005668C6" w:rsidRPr="008C3756" w:rsidRDefault="005668C6" w:rsidP="005668C6">
      <w:pPr>
        <w:pStyle w:val="a8"/>
        <w:spacing w:before="0" w:beforeAutospacing="0" w:after="0" w:afterAutospacing="0"/>
        <w:ind w:left="360"/>
        <w:jc w:val="both"/>
        <w:rPr>
          <w:rFonts w:ascii="Arial" w:hAnsi="Arial" w:cs="Arial"/>
          <w:color w:val="000000" w:themeColor="text1"/>
          <w:sz w:val="22"/>
          <w:szCs w:val="22"/>
        </w:rPr>
      </w:pPr>
    </w:p>
    <w:p w:rsidR="005668C6" w:rsidRDefault="005668C6" w:rsidP="008C3756">
      <w:pPr>
        <w:pStyle w:val="a8"/>
        <w:numPr>
          <w:ilvl w:val="0"/>
          <w:numId w:val="13"/>
        </w:numPr>
        <w:spacing w:before="0" w:beforeAutospacing="0" w:after="0" w:afterAutospacing="0"/>
        <w:jc w:val="both"/>
        <w:rPr>
          <w:rFonts w:ascii="Arial" w:hAnsi="Arial" w:cs="Arial"/>
          <w:color w:val="000000" w:themeColor="text1"/>
          <w:sz w:val="22"/>
          <w:szCs w:val="22"/>
        </w:rPr>
      </w:pPr>
      <w:r w:rsidRPr="008C3756">
        <w:rPr>
          <w:rFonts w:ascii="Arial" w:hAnsi="Arial" w:cs="Arial"/>
          <w:color w:val="000000" w:themeColor="text1"/>
          <w:sz w:val="22"/>
          <w:szCs w:val="22"/>
        </w:rPr>
        <w:t>29.04.2019 Советом директоров</w:t>
      </w:r>
      <w:r w:rsidR="008C3756" w:rsidRPr="008C3756">
        <w:rPr>
          <w:rFonts w:ascii="Arial" w:hAnsi="Arial" w:cs="Arial"/>
          <w:color w:val="000000" w:themeColor="text1"/>
          <w:sz w:val="22"/>
          <w:szCs w:val="22"/>
        </w:rPr>
        <w:t xml:space="preserve"> ПАО «Россети»</w:t>
      </w:r>
      <w:r w:rsidRPr="008C3756">
        <w:rPr>
          <w:rFonts w:ascii="Arial" w:hAnsi="Arial" w:cs="Arial"/>
          <w:color w:val="000000" w:themeColor="text1"/>
          <w:sz w:val="22"/>
          <w:szCs w:val="22"/>
        </w:rPr>
        <w:t xml:space="preserve"> утвержден Единый стандарт фирменного стиля ПАО «Россети» и организаций Группы компаний Россети</w:t>
      </w:r>
    </w:p>
    <w:p w:rsidR="008C3756" w:rsidRPr="008C3756" w:rsidRDefault="008C3756" w:rsidP="008C3756">
      <w:pPr>
        <w:pStyle w:val="a8"/>
        <w:spacing w:before="0" w:beforeAutospacing="0" w:after="0" w:afterAutospacing="0"/>
        <w:jc w:val="both"/>
        <w:rPr>
          <w:rFonts w:ascii="Arial" w:hAnsi="Arial" w:cs="Arial"/>
          <w:color w:val="000000" w:themeColor="text1"/>
          <w:sz w:val="22"/>
          <w:szCs w:val="22"/>
        </w:rPr>
      </w:pPr>
    </w:p>
    <w:p w:rsidR="005668C6" w:rsidRPr="008C3756" w:rsidRDefault="005668C6" w:rsidP="005668C6">
      <w:pPr>
        <w:pStyle w:val="a8"/>
        <w:numPr>
          <w:ilvl w:val="0"/>
          <w:numId w:val="13"/>
        </w:numPr>
        <w:spacing w:before="0" w:beforeAutospacing="0" w:after="0" w:afterAutospacing="0"/>
        <w:jc w:val="both"/>
        <w:rPr>
          <w:rFonts w:ascii="Arial" w:hAnsi="Arial" w:cs="Arial"/>
          <w:color w:val="000000" w:themeColor="text1"/>
          <w:sz w:val="22"/>
          <w:szCs w:val="22"/>
        </w:rPr>
      </w:pPr>
      <w:r w:rsidRPr="008C3756">
        <w:rPr>
          <w:rFonts w:ascii="Arial" w:hAnsi="Arial" w:cs="Arial"/>
          <w:color w:val="000000" w:themeColor="text1"/>
          <w:sz w:val="22"/>
          <w:szCs w:val="22"/>
        </w:rPr>
        <w:t>2</w:t>
      </w:r>
      <w:r w:rsidR="008C3756" w:rsidRPr="008C3756">
        <w:rPr>
          <w:rFonts w:ascii="Arial" w:hAnsi="Arial" w:cs="Arial"/>
          <w:color w:val="000000" w:themeColor="text1"/>
          <w:sz w:val="22"/>
          <w:szCs w:val="22"/>
        </w:rPr>
        <w:t xml:space="preserve">7.06.2019 годовым Общим собранием акционеров ПАО «Россети» </w:t>
      </w:r>
      <w:r w:rsidRPr="008C3756">
        <w:rPr>
          <w:rFonts w:ascii="Arial" w:hAnsi="Arial" w:cs="Arial"/>
          <w:color w:val="000000" w:themeColor="text1"/>
          <w:sz w:val="22"/>
          <w:szCs w:val="22"/>
        </w:rPr>
        <w:t>одобрен</w:t>
      </w:r>
      <w:r w:rsidR="008C3756" w:rsidRPr="008C3756">
        <w:rPr>
          <w:rFonts w:ascii="Arial" w:hAnsi="Arial" w:cs="Arial"/>
          <w:color w:val="000000" w:themeColor="text1"/>
          <w:sz w:val="22"/>
          <w:szCs w:val="22"/>
        </w:rPr>
        <w:t>о направление 5,02 млрд рублей на</w:t>
      </w:r>
      <w:r w:rsidRPr="008C3756">
        <w:rPr>
          <w:rFonts w:ascii="Arial" w:hAnsi="Arial" w:cs="Arial"/>
          <w:color w:val="000000" w:themeColor="text1"/>
          <w:sz w:val="22"/>
          <w:szCs w:val="22"/>
        </w:rPr>
        <w:t xml:space="preserve"> выплат</w:t>
      </w:r>
      <w:r w:rsidR="008C3756" w:rsidRPr="008C3756">
        <w:rPr>
          <w:rFonts w:ascii="Arial" w:hAnsi="Arial" w:cs="Arial"/>
          <w:color w:val="000000" w:themeColor="text1"/>
          <w:sz w:val="22"/>
          <w:szCs w:val="22"/>
        </w:rPr>
        <w:t>у</w:t>
      </w:r>
      <w:r w:rsidRPr="008C3756">
        <w:rPr>
          <w:rFonts w:ascii="Arial" w:hAnsi="Arial" w:cs="Arial"/>
          <w:color w:val="000000" w:themeColor="text1"/>
          <w:sz w:val="22"/>
          <w:szCs w:val="22"/>
        </w:rPr>
        <w:t xml:space="preserve"> промежуточных дивидендов ПАО «Россети» за 1 квартал 2019</w:t>
      </w:r>
      <w:r w:rsidR="008C3756" w:rsidRPr="008C3756">
        <w:rPr>
          <w:rFonts w:ascii="Arial" w:hAnsi="Arial" w:cs="Arial"/>
          <w:color w:val="000000" w:themeColor="text1"/>
          <w:sz w:val="22"/>
          <w:szCs w:val="22"/>
        </w:rPr>
        <w:t xml:space="preserve"> года</w:t>
      </w:r>
      <w:r w:rsidRPr="008C3756">
        <w:rPr>
          <w:rFonts w:ascii="Arial" w:hAnsi="Arial" w:cs="Arial"/>
          <w:color w:val="000000" w:themeColor="text1"/>
          <w:sz w:val="22"/>
          <w:szCs w:val="22"/>
        </w:rPr>
        <w:t xml:space="preserve"> </w:t>
      </w:r>
    </w:p>
    <w:p w:rsidR="005668C6" w:rsidRPr="008C3756" w:rsidRDefault="005668C6" w:rsidP="005668C6">
      <w:pPr>
        <w:pStyle w:val="a8"/>
        <w:spacing w:before="0" w:beforeAutospacing="0" w:after="0" w:afterAutospacing="0"/>
        <w:ind w:left="360"/>
        <w:jc w:val="both"/>
        <w:rPr>
          <w:rFonts w:ascii="Arial" w:hAnsi="Arial" w:cs="Arial"/>
          <w:color w:val="000000" w:themeColor="text1"/>
          <w:sz w:val="22"/>
          <w:szCs w:val="22"/>
        </w:rPr>
      </w:pPr>
    </w:p>
    <w:p w:rsidR="008C3756" w:rsidRPr="008C3756" w:rsidRDefault="008C3756" w:rsidP="008C3756">
      <w:pPr>
        <w:pStyle w:val="a8"/>
        <w:spacing w:before="0" w:beforeAutospacing="0" w:after="0" w:afterAutospacing="0"/>
        <w:jc w:val="both"/>
        <w:rPr>
          <w:rFonts w:ascii="Arial" w:hAnsi="Arial" w:cs="Arial"/>
          <w:color w:val="000000" w:themeColor="text1"/>
          <w:sz w:val="22"/>
          <w:szCs w:val="22"/>
        </w:rPr>
      </w:pPr>
    </w:p>
    <w:p w:rsidR="008C3756" w:rsidRPr="008C3756" w:rsidRDefault="008C3756" w:rsidP="008C3756">
      <w:pPr>
        <w:pStyle w:val="a8"/>
        <w:numPr>
          <w:ilvl w:val="0"/>
          <w:numId w:val="13"/>
        </w:numPr>
        <w:spacing w:before="0" w:beforeAutospacing="0" w:after="0" w:afterAutospacing="0"/>
        <w:jc w:val="both"/>
        <w:rPr>
          <w:rFonts w:ascii="Arial" w:hAnsi="Arial" w:cs="Arial"/>
          <w:b/>
          <w:sz w:val="22"/>
          <w:szCs w:val="22"/>
        </w:rPr>
      </w:pPr>
      <w:r w:rsidRPr="008C3756">
        <w:rPr>
          <w:rFonts w:ascii="Arial" w:hAnsi="Arial" w:cs="Arial"/>
          <w:b/>
          <w:sz w:val="22"/>
          <w:szCs w:val="22"/>
        </w:rPr>
        <w:t>Событие после отчетной даты:</w:t>
      </w:r>
    </w:p>
    <w:p w:rsidR="005668C6" w:rsidRPr="008C3756" w:rsidRDefault="005668C6" w:rsidP="008C3756">
      <w:pPr>
        <w:pStyle w:val="a8"/>
        <w:spacing w:before="0" w:beforeAutospacing="0" w:after="0" w:afterAutospacing="0"/>
        <w:jc w:val="both"/>
        <w:rPr>
          <w:rFonts w:ascii="Arial" w:hAnsi="Arial" w:cs="Arial"/>
          <w:color w:val="000000" w:themeColor="text1"/>
          <w:sz w:val="22"/>
          <w:szCs w:val="22"/>
        </w:rPr>
      </w:pPr>
    </w:p>
    <w:p w:rsidR="00AD3A8F" w:rsidRPr="008C3756" w:rsidRDefault="00113DE4" w:rsidP="008C3756">
      <w:pPr>
        <w:pStyle w:val="a8"/>
        <w:numPr>
          <w:ilvl w:val="0"/>
          <w:numId w:val="13"/>
        </w:numPr>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2</w:t>
      </w:r>
      <w:r w:rsidR="00F21DF0">
        <w:rPr>
          <w:rFonts w:ascii="Arial" w:hAnsi="Arial" w:cs="Arial"/>
          <w:color w:val="000000" w:themeColor="text1"/>
          <w:sz w:val="22"/>
          <w:szCs w:val="22"/>
        </w:rPr>
        <w:t>2</w:t>
      </w:r>
      <w:r>
        <w:rPr>
          <w:rFonts w:ascii="Arial" w:hAnsi="Arial" w:cs="Arial"/>
          <w:color w:val="000000" w:themeColor="text1"/>
          <w:sz w:val="22"/>
          <w:szCs w:val="22"/>
        </w:rPr>
        <w:t xml:space="preserve">.07.2019 Агентством </w:t>
      </w:r>
      <w:proofErr w:type="spellStart"/>
      <w:r w:rsidR="008C3756" w:rsidRPr="008C3756">
        <w:rPr>
          <w:rFonts w:ascii="Arial" w:hAnsi="Arial" w:cs="Arial"/>
          <w:color w:val="000000" w:themeColor="text1"/>
          <w:sz w:val="22"/>
          <w:szCs w:val="22"/>
        </w:rPr>
        <w:t>Standard</w:t>
      </w:r>
      <w:proofErr w:type="spellEnd"/>
      <w:r w:rsidR="008C3756" w:rsidRPr="008C3756">
        <w:rPr>
          <w:rFonts w:ascii="Arial" w:hAnsi="Arial" w:cs="Arial"/>
          <w:color w:val="000000" w:themeColor="text1"/>
          <w:sz w:val="22"/>
          <w:szCs w:val="22"/>
        </w:rPr>
        <w:t xml:space="preserve"> &amp; </w:t>
      </w:r>
      <w:proofErr w:type="spellStart"/>
      <w:r w:rsidR="008C3756" w:rsidRPr="008C3756">
        <w:rPr>
          <w:rFonts w:ascii="Arial" w:hAnsi="Arial" w:cs="Arial"/>
          <w:color w:val="000000" w:themeColor="text1"/>
          <w:sz w:val="22"/>
          <w:szCs w:val="22"/>
        </w:rPr>
        <w:t>Poor’s</w:t>
      </w:r>
      <w:proofErr w:type="spellEnd"/>
      <w:r w:rsidR="008C3756" w:rsidRPr="008C3756">
        <w:rPr>
          <w:rFonts w:ascii="Arial" w:hAnsi="Arial" w:cs="Arial"/>
          <w:color w:val="000000" w:themeColor="text1"/>
          <w:sz w:val="22"/>
          <w:szCs w:val="22"/>
        </w:rPr>
        <w:t xml:space="preserve"> (S&amp;P) п</w:t>
      </w:r>
      <w:r w:rsidR="005668C6" w:rsidRPr="008C3756">
        <w:rPr>
          <w:rFonts w:ascii="Arial" w:hAnsi="Arial" w:cs="Arial"/>
          <w:color w:val="000000" w:themeColor="text1"/>
          <w:sz w:val="22"/>
          <w:szCs w:val="22"/>
        </w:rPr>
        <w:t xml:space="preserve">овышен долгосрочный рейтинг </w:t>
      </w:r>
      <w:proofErr w:type="spellStart"/>
      <w:r w:rsidR="005668C6" w:rsidRPr="008C3756">
        <w:rPr>
          <w:rFonts w:ascii="Arial" w:hAnsi="Arial" w:cs="Arial"/>
          <w:color w:val="000000" w:themeColor="text1"/>
          <w:sz w:val="22"/>
          <w:szCs w:val="22"/>
        </w:rPr>
        <w:t>кредитоспобосности</w:t>
      </w:r>
      <w:proofErr w:type="spellEnd"/>
      <w:r w:rsidR="005668C6" w:rsidRPr="008C3756">
        <w:rPr>
          <w:rFonts w:ascii="Arial" w:hAnsi="Arial" w:cs="Arial"/>
          <w:color w:val="000000" w:themeColor="text1"/>
          <w:sz w:val="22"/>
          <w:szCs w:val="22"/>
        </w:rPr>
        <w:t xml:space="preserve"> по международной шкале ПАО «МОЭСК» и ПАО «МРСК Центра» до инвестиционного уровня «BB+» (S&amp;P)</w:t>
      </w:r>
    </w:p>
    <w:p w:rsidR="005668C6" w:rsidRPr="005668C6" w:rsidRDefault="005668C6" w:rsidP="005668C6">
      <w:pPr>
        <w:pStyle w:val="a8"/>
        <w:spacing w:before="0" w:beforeAutospacing="0" w:after="0" w:afterAutospacing="0"/>
        <w:ind w:left="360"/>
        <w:jc w:val="both"/>
        <w:rPr>
          <w:rFonts w:ascii="Arial" w:hAnsi="Arial" w:cs="Arial"/>
          <w:color w:val="000000" w:themeColor="text1"/>
        </w:rPr>
      </w:pPr>
    </w:p>
    <w:p w:rsidR="00BB2A90" w:rsidRPr="00A021DC" w:rsidRDefault="00234F1A" w:rsidP="00BB2A90">
      <w:pPr>
        <w:spacing w:line="240" w:lineRule="auto"/>
        <w:jc w:val="both"/>
        <w:rPr>
          <w:rFonts w:ascii="Arial" w:hAnsi="Arial" w:cs="Arial"/>
          <w:color w:val="000000" w:themeColor="text1"/>
          <w:lang w:eastAsia="ru-RU"/>
        </w:rPr>
      </w:pPr>
      <w:r w:rsidRPr="00A021DC">
        <w:rPr>
          <w:rFonts w:ascii="Arial" w:hAnsi="Arial" w:cs="Arial"/>
          <w:color w:val="000000" w:themeColor="text1"/>
          <w:lang w:eastAsia="ru-RU"/>
        </w:rPr>
        <w:t>Группа продемонстрировала положительную динамику ф</w:t>
      </w:r>
      <w:r w:rsidR="00BB2A90" w:rsidRPr="00A021DC">
        <w:rPr>
          <w:rFonts w:ascii="Arial" w:hAnsi="Arial" w:cs="Arial"/>
          <w:color w:val="000000" w:themeColor="text1"/>
          <w:lang w:eastAsia="ru-RU"/>
        </w:rPr>
        <w:t>инансово-экономически</w:t>
      </w:r>
      <w:r w:rsidRPr="00A021DC">
        <w:rPr>
          <w:rFonts w:ascii="Arial" w:hAnsi="Arial" w:cs="Arial"/>
          <w:color w:val="000000" w:themeColor="text1"/>
          <w:lang w:eastAsia="ru-RU"/>
        </w:rPr>
        <w:t>х показателей</w:t>
      </w:r>
      <w:r w:rsidR="00BB2A90" w:rsidRPr="00A021DC">
        <w:rPr>
          <w:rFonts w:ascii="Arial" w:hAnsi="Arial" w:cs="Arial"/>
          <w:color w:val="000000" w:themeColor="text1"/>
          <w:lang w:eastAsia="ru-RU"/>
        </w:rPr>
        <w:t xml:space="preserve"> по итогам </w:t>
      </w:r>
      <w:r w:rsidRPr="00A021DC">
        <w:rPr>
          <w:rFonts w:ascii="Arial" w:hAnsi="Arial" w:cs="Arial"/>
          <w:color w:val="000000" w:themeColor="text1"/>
          <w:lang w:eastAsia="ru-RU"/>
        </w:rPr>
        <w:t>работы за</w:t>
      </w:r>
      <w:r w:rsidR="0094203A" w:rsidRPr="00A021DC">
        <w:rPr>
          <w:rFonts w:ascii="Arial" w:hAnsi="Arial" w:cs="Arial"/>
          <w:color w:val="000000" w:themeColor="text1"/>
          <w:lang w:eastAsia="ru-RU"/>
        </w:rPr>
        <w:t xml:space="preserve"> 6 месяцев </w:t>
      </w:r>
      <w:r w:rsidR="00BB2A90" w:rsidRPr="00A021DC">
        <w:rPr>
          <w:rFonts w:ascii="Arial" w:hAnsi="Arial" w:cs="Arial"/>
          <w:color w:val="000000" w:themeColor="text1"/>
          <w:lang w:eastAsia="ru-RU"/>
        </w:rPr>
        <w:t>201</w:t>
      </w:r>
      <w:r w:rsidR="006C67DF" w:rsidRPr="00A021DC">
        <w:rPr>
          <w:rFonts w:ascii="Arial" w:hAnsi="Arial" w:cs="Arial"/>
          <w:color w:val="000000" w:themeColor="text1"/>
          <w:lang w:eastAsia="ru-RU"/>
        </w:rPr>
        <w:t>9</w:t>
      </w:r>
      <w:r w:rsidRPr="00A021DC">
        <w:rPr>
          <w:rFonts w:ascii="Arial" w:hAnsi="Arial" w:cs="Arial"/>
          <w:color w:val="000000" w:themeColor="text1"/>
          <w:lang w:eastAsia="ru-RU"/>
        </w:rPr>
        <w:t xml:space="preserve"> год</w:t>
      </w:r>
      <w:r w:rsidR="0094203A" w:rsidRPr="00A021DC">
        <w:rPr>
          <w:rFonts w:ascii="Arial" w:hAnsi="Arial" w:cs="Arial"/>
          <w:color w:val="000000" w:themeColor="text1"/>
          <w:lang w:eastAsia="ru-RU"/>
        </w:rPr>
        <w:t>а</w:t>
      </w:r>
      <w:r w:rsidR="00BB2A90" w:rsidRPr="00A021DC">
        <w:rPr>
          <w:rFonts w:ascii="Arial" w:hAnsi="Arial" w:cs="Arial"/>
          <w:color w:val="000000" w:themeColor="text1"/>
          <w:lang w:eastAsia="ru-RU"/>
        </w:rPr>
        <w:t xml:space="preserve">. </w:t>
      </w:r>
    </w:p>
    <w:p w:rsidR="00BB2A90" w:rsidRPr="00A021DC" w:rsidRDefault="00BB2A90" w:rsidP="00BB2A90">
      <w:pPr>
        <w:spacing w:line="240" w:lineRule="auto"/>
        <w:jc w:val="both"/>
        <w:rPr>
          <w:rFonts w:ascii="Arial" w:hAnsi="Arial" w:cs="Arial"/>
          <w:color w:val="000000" w:themeColor="text1"/>
          <w:lang w:eastAsia="ru-RU"/>
        </w:rPr>
      </w:pPr>
      <w:r w:rsidRPr="00A021DC">
        <w:rPr>
          <w:rFonts w:ascii="Arial" w:hAnsi="Arial" w:cs="Arial"/>
          <w:color w:val="000000" w:themeColor="text1"/>
          <w:lang w:eastAsia="ru-RU"/>
        </w:rPr>
        <w:lastRenderedPageBreak/>
        <w:t>Чистая прибыль по итогам</w:t>
      </w:r>
      <w:r w:rsidR="0094203A" w:rsidRPr="00A021DC">
        <w:rPr>
          <w:rFonts w:ascii="Arial" w:hAnsi="Arial" w:cs="Arial"/>
          <w:color w:val="000000" w:themeColor="text1"/>
          <w:lang w:eastAsia="ru-RU"/>
        </w:rPr>
        <w:t xml:space="preserve"> первого</w:t>
      </w:r>
      <w:r w:rsidRPr="00A021DC">
        <w:rPr>
          <w:rFonts w:ascii="Arial" w:hAnsi="Arial" w:cs="Arial"/>
          <w:color w:val="000000" w:themeColor="text1"/>
          <w:lang w:eastAsia="ru-RU"/>
        </w:rPr>
        <w:t xml:space="preserve"> </w:t>
      </w:r>
      <w:r w:rsidR="0094203A" w:rsidRPr="00A021DC">
        <w:rPr>
          <w:rFonts w:ascii="Arial" w:hAnsi="Arial" w:cs="Arial"/>
          <w:color w:val="000000" w:themeColor="text1"/>
          <w:lang w:eastAsia="ru-RU"/>
        </w:rPr>
        <w:t xml:space="preserve">полугодия </w:t>
      </w:r>
      <w:r w:rsidRPr="00A021DC">
        <w:rPr>
          <w:rFonts w:ascii="Arial" w:hAnsi="Arial" w:cs="Arial"/>
          <w:color w:val="000000" w:themeColor="text1"/>
          <w:lang w:eastAsia="ru-RU"/>
        </w:rPr>
        <w:t>201</w:t>
      </w:r>
      <w:r w:rsidR="0094203A" w:rsidRPr="00A021DC">
        <w:rPr>
          <w:rFonts w:ascii="Arial" w:hAnsi="Arial" w:cs="Arial"/>
          <w:color w:val="000000" w:themeColor="text1"/>
          <w:lang w:eastAsia="ru-RU"/>
        </w:rPr>
        <w:t>9</w:t>
      </w:r>
      <w:r w:rsidRPr="00A021DC">
        <w:rPr>
          <w:rFonts w:ascii="Arial" w:hAnsi="Arial" w:cs="Arial"/>
          <w:color w:val="000000" w:themeColor="text1"/>
          <w:lang w:eastAsia="ru-RU"/>
        </w:rPr>
        <w:t xml:space="preserve"> года составила </w:t>
      </w:r>
      <w:r w:rsidR="00A021DC" w:rsidRPr="00A021DC">
        <w:rPr>
          <w:rFonts w:ascii="Arial" w:hAnsi="Arial" w:cs="Arial"/>
        </w:rPr>
        <w:t>6</w:t>
      </w:r>
      <w:r w:rsidR="00E75A0F">
        <w:rPr>
          <w:rFonts w:ascii="Arial" w:hAnsi="Arial" w:cs="Arial"/>
        </w:rPr>
        <w:t>7,9</w:t>
      </w:r>
      <w:r w:rsidR="00EE12F6">
        <w:rPr>
          <w:rFonts w:ascii="Arial" w:hAnsi="Arial" w:cs="Arial"/>
        </w:rPr>
        <w:t xml:space="preserve"> </w:t>
      </w:r>
      <w:r w:rsidRPr="00A021DC">
        <w:rPr>
          <w:rFonts w:ascii="Arial" w:hAnsi="Arial" w:cs="Arial"/>
          <w:color w:val="000000" w:themeColor="text1"/>
          <w:lang w:eastAsia="ru-RU"/>
        </w:rPr>
        <w:t xml:space="preserve">млрд рублей, увеличение по сравнению с </w:t>
      </w:r>
      <w:r w:rsidR="0094203A" w:rsidRPr="00A021DC">
        <w:rPr>
          <w:rFonts w:ascii="Arial" w:hAnsi="Arial" w:cs="Arial"/>
          <w:color w:val="000000" w:themeColor="text1"/>
          <w:lang w:eastAsia="ru-RU"/>
        </w:rPr>
        <w:t>аналогичным периодом в 2018</w:t>
      </w:r>
      <w:r w:rsidRPr="00A021DC">
        <w:rPr>
          <w:rFonts w:ascii="Arial" w:hAnsi="Arial" w:cs="Arial"/>
          <w:color w:val="000000" w:themeColor="text1"/>
          <w:lang w:eastAsia="ru-RU"/>
        </w:rPr>
        <w:t xml:space="preserve"> год</w:t>
      </w:r>
      <w:r w:rsidR="0094203A" w:rsidRPr="00A021DC">
        <w:rPr>
          <w:rFonts w:ascii="Arial" w:hAnsi="Arial" w:cs="Arial"/>
          <w:color w:val="000000" w:themeColor="text1"/>
          <w:lang w:eastAsia="ru-RU"/>
        </w:rPr>
        <w:t>у</w:t>
      </w:r>
      <w:r w:rsidRPr="00A021DC">
        <w:rPr>
          <w:rFonts w:ascii="Arial" w:hAnsi="Arial" w:cs="Arial"/>
          <w:color w:val="000000" w:themeColor="text1"/>
          <w:lang w:eastAsia="ru-RU"/>
        </w:rPr>
        <w:t xml:space="preserve"> на </w:t>
      </w:r>
      <w:r w:rsidR="00E75A0F">
        <w:rPr>
          <w:rFonts w:ascii="Arial" w:hAnsi="Arial" w:cs="Arial"/>
        </w:rPr>
        <w:t>14,9</w:t>
      </w:r>
      <w:r w:rsidRPr="00A021DC">
        <w:rPr>
          <w:rFonts w:ascii="Arial" w:hAnsi="Arial" w:cs="Arial"/>
          <w:color w:val="000000" w:themeColor="text1"/>
          <w:lang w:eastAsia="ru-RU"/>
        </w:rPr>
        <w:t xml:space="preserve">%. </w:t>
      </w:r>
    </w:p>
    <w:p w:rsidR="007D363E" w:rsidRPr="00A021DC" w:rsidRDefault="00BB2A90" w:rsidP="00BB2A90">
      <w:pPr>
        <w:spacing w:line="240" w:lineRule="auto"/>
        <w:jc w:val="both"/>
        <w:rPr>
          <w:rFonts w:ascii="Arial" w:hAnsi="Arial" w:cs="Arial"/>
          <w:color w:val="000000" w:themeColor="text1"/>
          <w:lang w:eastAsia="ru-RU"/>
        </w:rPr>
      </w:pPr>
      <w:r w:rsidRPr="00A021DC">
        <w:rPr>
          <w:rFonts w:ascii="Arial" w:hAnsi="Arial" w:cs="Arial"/>
          <w:color w:val="000000" w:themeColor="text1"/>
          <w:lang w:eastAsia="ru-RU"/>
        </w:rPr>
        <w:t xml:space="preserve">Показатель EBITDA по итогам отчетного периода составил </w:t>
      </w:r>
      <w:r w:rsidR="00A021DC" w:rsidRPr="00A021DC">
        <w:rPr>
          <w:rFonts w:ascii="Arial" w:hAnsi="Arial" w:cs="Arial"/>
        </w:rPr>
        <w:t>16</w:t>
      </w:r>
      <w:r w:rsidR="00517246">
        <w:rPr>
          <w:rFonts w:ascii="Arial" w:hAnsi="Arial" w:cs="Arial"/>
        </w:rPr>
        <w:t>7</w:t>
      </w:r>
      <w:r w:rsidR="00A021DC" w:rsidRPr="00A021DC">
        <w:rPr>
          <w:rFonts w:ascii="Arial" w:hAnsi="Arial" w:cs="Arial"/>
        </w:rPr>
        <w:t>,</w:t>
      </w:r>
      <w:r w:rsidR="00517246">
        <w:rPr>
          <w:rFonts w:ascii="Arial" w:hAnsi="Arial" w:cs="Arial"/>
        </w:rPr>
        <w:t>7</w:t>
      </w:r>
      <w:r w:rsidR="00517246" w:rsidRPr="00A021DC">
        <w:rPr>
          <w:rFonts w:ascii="Arial" w:hAnsi="Arial" w:cs="Arial"/>
        </w:rPr>
        <w:t xml:space="preserve"> </w:t>
      </w:r>
      <w:r w:rsidRPr="00A021DC">
        <w:rPr>
          <w:rFonts w:ascii="Arial" w:hAnsi="Arial" w:cs="Arial"/>
          <w:color w:val="000000" w:themeColor="text1"/>
          <w:lang w:eastAsia="ru-RU"/>
        </w:rPr>
        <w:t xml:space="preserve">млрд рублей, рост по сравнению с </w:t>
      </w:r>
      <w:r w:rsidR="0094203A" w:rsidRPr="00A021DC">
        <w:rPr>
          <w:rFonts w:ascii="Arial" w:hAnsi="Arial" w:cs="Arial"/>
          <w:color w:val="000000" w:themeColor="text1"/>
          <w:lang w:eastAsia="ru-RU"/>
        </w:rPr>
        <w:t>аналогичным периодом 2018</w:t>
      </w:r>
      <w:r w:rsidRPr="00A021DC">
        <w:rPr>
          <w:rFonts w:ascii="Arial" w:hAnsi="Arial" w:cs="Arial"/>
          <w:color w:val="000000" w:themeColor="text1"/>
          <w:lang w:eastAsia="ru-RU"/>
        </w:rPr>
        <w:t xml:space="preserve"> год</w:t>
      </w:r>
      <w:r w:rsidR="0094203A" w:rsidRPr="00A021DC">
        <w:rPr>
          <w:rFonts w:ascii="Arial" w:hAnsi="Arial" w:cs="Arial"/>
          <w:color w:val="000000" w:themeColor="text1"/>
          <w:lang w:eastAsia="ru-RU"/>
        </w:rPr>
        <w:t>а</w:t>
      </w:r>
      <w:r w:rsidRPr="00A021DC">
        <w:rPr>
          <w:rFonts w:ascii="Arial" w:hAnsi="Arial" w:cs="Arial"/>
          <w:color w:val="000000" w:themeColor="text1"/>
          <w:lang w:eastAsia="ru-RU"/>
        </w:rPr>
        <w:t xml:space="preserve"> </w:t>
      </w:r>
      <w:r w:rsidR="00A021DC" w:rsidRPr="00A021DC">
        <w:rPr>
          <w:rFonts w:ascii="Arial" w:hAnsi="Arial" w:cs="Arial"/>
        </w:rPr>
        <w:t>14,</w:t>
      </w:r>
      <w:r w:rsidR="00517246">
        <w:rPr>
          <w:rFonts w:ascii="Arial" w:hAnsi="Arial" w:cs="Arial"/>
        </w:rPr>
        <w:t>3</w:t>
      </w:r>
      <w:r w:rsidR="00A021DC" w:rsidRPr="00A021DC">
        <w:rPr>
          <w:rFonts w:ascii="Arial" w:hAnsi="Arial" w:cs="Arial"/>
        </w:rPr>
        <w:t xml:space="preserve"> </w:t>
      </w:r>
      <w:r w:rsidRPr="00A021DC">
        <w:rPr>
          <w:rFonts w:ascii="Arial" w:hAnsi="Arial" w:cs="Arial"/>
          <w:color w:val="000000" w:themeColor="text1"/>
          <w:lang w:eastAsia="ru-RU"/>
        </w:rPr>
        <w:t xml:space="preserve">%. </w:t>
      </w:r>
    </w:p>
    <w:p w:rsidR="009E3DF7" w:rsidRPr="00A021DC" w:rsidRDefault="009E3DF7" w:rsidP="009E3DF7">
      <w:pPr>
        <w:spacing w:line="240" w:lineRule="auto"/>
        <w:jc w:val="both"/>
        <w:rPr>
          <w:rFonts w:ascii="Arial" w:hAnsi="Arial" w:cs="Arial"/>
          <w:color w:val="000000" w:themeColor="text1"/>
          <w:lang w:eastAsia="ru-RU"/>
        </w:rPr>
      </w:pPr>
      <w:r w:rsidRPr="0020006D">
        <w:rPr>
          <w:rFonts w:ascii="Arial" w:hAnsi="Arial" w:cs="Arial"/>
          <w:color w:val="000000" w:themeColor="text1"/>
          <w:lang w:eastAsia="ru-RU"/>
        </w:rPr>
        <w:t xml:space="preserve">Показатель Чистый долг/EBITDA снизился </w:t>
      </w:r>
      <w:r>
        <w:rPr>
          <w:rFonts w:ascii="Arial" w:hAnsi="Arial" w:cs="Arial"/>
          <w:color w:val="000000" w:themeColor="text1"/>
          <w:lang w:eastAsia="ru-RU"/>
        </w:rPr>
        <w:t>в первом полугодии 2019 года на 0,2х и составил</w:t>
      </w:r>
      <w:r w:rsidRPr="0020006D">
        <w:rPr>
          <w:rFonts w:ascii="Arial" w:hAnsi="Arial" w:cs="Arial"/>
          <w:color w:val="000000" w:themeColor="text1"/>
          <w:lang w:eastAsia="ru-RU"/>
        </w:rPr>
        <w:t xml:space="preserve"> </w:t>
      </w:r>
      <w:r>
        <w:rPr>
          <w:rFonts w:ascii="Arial" w:hAnsi="Arial" w:cs="Arial"/>
          <w:color w:val="000000" w:themeColor="text1"/>
          <w:lang w:eastAsia="ru-RU"/>
        </w:rPr>
        <w:t>1,2</w:t>
      </w:r>
      <w:r w:rsidRPr="0020006D">
        <w:rPr>
          <w:rFonts w:ascii="Arial" w:hAnsi="Arial" w:cs="Arial"/>
          <w:color w:val="000000" w:themeColor="text1"/>
          <w:lang w:eastAsia="ru-RU"/>
        </w:rPr>
        <w:t>х (</w:t>
      </w:r>
      <w:r w:rsidRPr="00EC7A8A">
        <w:rPr>
          <w:rFonts w:ascii="Arial" w:hAnsi="Arial" w:cs="Arial"/>
          <w:color w:val="000000" w:themeColor="text1"/>
          <w:lang w:eastAsia="ru-RU"/>
        </w:rPr>
        <w:t>1,4</w:t>
      </w:r>
      <w:r>
        <w:rPr>
          <w:rFonts w:ascii="Arial" w:hAnsi="Arial" w:cs="Arial"/>
          <w:color w:val="000000" w:themeColor="text1"/>
          <w:lang w:eastAsia="ru-RU"/>
        </w:rPr>
        <w:t>х на 31.12.2018</w:t>
      </w:r>
      <w:r w:rsidRPr="0020006D">
        <w:rPr>
          <w:rFonts w:ascii="Arial" w:hAnsi="Arial" w:cs="Arial"/>
          <w:color w:val="000000" w:themeColor="text1"/>
          <w:lang w:eastAsia="ru-RU"/>
        </w:rPr>
        <w:t>).</w:t>
      </w:r>
    </w:p>
    <w:p w:rsidR="009E3DF7" w:rsidRPr="000B6C3D" w:rsidRDefault="009E3DF7" w:rsidP="009E3DF7">
      <w:pPr>
        <w:pStyle w:val="a7"/>
        <w:autoSpaceDE w:val="0"/>
        <w:autoSpaceDN w:val="0"/>
        <w:adjustRightInd w:val="0"/>
        <w:spacing w:after="0" w:line="240" w:lineRule="auto"/>
        <w:ind w:left="0"/>
        <w:jc w:val="both"/>
        <w:rPr>
          <w:rFonts w:ascii="Arial" w:hAnsi="Arial" w:cs="Arial"/>
          <w:b/>
          <w:u w:val="single"/>
        </w:rPr>
      </w:pPr>
      <w:r w:rsidRPr="0079402F">
        <w:rPr>
          <w:rFonts w:ascii="Arial" w:hAnsi="Arial" w:cs="Arial"/>
          <w:b/>
          <w:u w:val="single"/>
        </w:rPr>
        <w:t xml:space="preserve">Финансовые результаты деятельности </w:t>
      </w:r>
    </w:p>
    <w:tbl>
      <w:tblPr>
        <w:tblW w:w="9385" w:type="dxa"/>
        <w:tblInd w:w="-34" w:type="dxa"/>
        <w:tblLayout w:type="fixed"/>
        <w:tblLook w:val="04A0" w:firstRow="1" w:lastRow="0" w:firstColumn="1" w:lastColumn="0" w:noHBand="0" w:noVBand="1"/>
      </w:tblPr>
      <w:tblGrid>
        <w:gridCol w:w="4707"/>
        <w:gridCol w:w="1701"/>
        <w:gridCol w:w="1559"/>
        <w:gridCol w:w="1418"/>
      </w:tblGrid>
      <w:tr w:rsidR="009E3DF7" w:rsidRPr="00E33C5C" w:rsidTr="00840F36">
        <w:trPr>
          <w:trHeight w:val="300"/>
          <w:tblHeader/>
        </w:trPr>
        <w:tc>
          <w:tcPr>
            <w:tcW w:w="4707" w:type="dxa"/>
            <w:vMerge w:val="restart"/>
            <w:tcBorders>
              <w:top w:val="single" w:sz="4" w:space="0" w:color="auto"/>
              <w:left w:val="single" w:sz="4" w:space="0" w:color="auto"/>
              <w:right w:val="single" w:sz="4" w:space="0" w:color="auto"/>
            </w:tcBorders>
            <w:shd w:val="clear" w:color="auto" w:fill="auto"/>
            <w:vAlign w:val="center"/>
            <w:hideMark/>
          </w:tcPr>
          <w:p w:rsidR="009E3DF7" w:rsidRPr="00E33C5C" w:rsidRDefault="009E3DF7" w:rsidP="00840F36">
            <w:pPr>
              <w:spacing w:after="0" w:line="240" w:lineRule="auto"/>
              <w:jc w:val="center"/>
              <w:rPr>
                <w:rFonts w:ascii="Arial" w:hAnsi="Arial" w:cs="Arial"/>
                <w:b/>
                <w:bCs/>
                <w:lang w:eastAsia="ru-RU"/>
              </w:rPr>
            </w:pPr>
            <w:r w:rsidRPr="00E33C5C">
              <w:rPr>
                <w:rFonts w:ascii="Arial" w:hAnsi="Arial" w:cs="Arial"/>
                <w:b/>
                <w:bCs/>
                <w:lang w:eastAsia="ru-RU"/>
              </w:rPr>
              <w:t>Показатель</w:t>
            </w:r>
          </w:p>
        </w:tc>
        <w:tc>
          <w:tcPr>
            <w:tcW w:w="1701" w:type="dxa"/>
            <w:tcBorders>
              <w:top w:val="single" w:sz="4" w:space="0" w:color="auto"/>
              <w:left w:val="nil"/>
              <w:bottom w:val="single" w:sz="4" w:space="0" w:color="auto"/>
              <w:right w:val="single" w:sz="4" w:space="0" w:color="auto"/>
            </w:tcBorders>
          </w:tcPr>
          <w:p w:rsidR="009E3DF7" w:rsidRPr="00E33C5C" w:rsidRDefault="009E3DF7" w:rsidP="00840F36">
            <w:pPr>
              <w:spacing w:after="0" w:line="240" w:lineRule="auto"/>
              <w:jc w:val="center"/>
              <w:rPr>
                <w:rFonts w:ascii="Arial" w:hAnsi="Arial" w:cs="Arial"/>
                <w:b/>
                <w:bCs/>
                <w:lang w:eastAsia="ru-RU"/>
              </w:rPr>
            </w:pPr>
            <w:r w:rsidRPr="00E33C5C">
              <w:rPr>
                <w:rFonts w:ascii="Arial" w:hAnsi="Arial" w:cs="Arial"/>
                <w:b/>
                <w:bCs/>
                <w:lang w:eastAsia="ru-RU"/>
              </w:rPr>
              <w:t xml:space="preserve">6м2019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F7" w:rsidRPr="00E33C5C" w:rsidRDefault="009E3DF7" w:rsidP="00840F36">
            <w:pPr>
              <w:spacing w:after="0" w:line="240" w:lineRule="auto"/>
              <w:jc w:val="center"/>
              <w:rPr>
                <w:rFonts w:ascii="Arial" w:hAnsi="Arial" w:cs="Arial"/>
                <w:b/>
                <w:bCs/>
                <w:lang w:eastAsia="ru-RU"/>
              </w:rPr>
            </w:pPr>
            <w:r w:rsidRPr="00E33C5C">
              <w:rPr>
                <w:rFonts w:ascii="Arial" w:hAnsi="Arial" w:cs="Arial"/>
                <w:b/>
                <w:bCs/>
                <w:lang w:eastAsia="ru-RU"/>
              </w:rPr>
              <w:t>6м2018</w:t>
            </w:r>
            <w:r w:rsidRPr="00E33C5C">
              <w:rPr>
                <w:rStyle w:val="ad"/>
                <w:rFonts w:ascii="Arial" w:hAnsi="Arial" w:cs="Arial"/>
                <w:b/>
                <w:bCs/>
                <w:lang w:eastAsia="ru-RU"/>
              </w:rPr>
              <w:footnoteReference w:id="2"/>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E3DF7" w:rsidRPr="00E33C5C" w:rsidRDefault="009E3DF7" w:rsidP="00840F36">
            <w:pPr>
              <w:spacing w:after="0" w:line="240" w:lineRule="auto"/>
              <w:jc w:val="center"/>
              <w:rPr>
                <w:rFonts w:ascii="Arial" w:hAnsi="Arial" w:cs="Arial"/>
                <w:b/>
                <w:bCs/>
                <w:lang w:eastAsia="ru-RU"/>
              </w:rPr>
            </w:pPr>
            <w:r w:rsidRPr="00E33C5C">
              <w:rPr>
                <w:rFonts w:ascii="Arial" w:hAnsi="Arial" w:cs="Arial"/>
                <w:b/>
                <w:bCs/>
                <w:lang w:eastAsia="ru-RU"/>
              </w:rPr>
              <w:t>Изм. г/г</w:t>
            </w:r>
          </w:p>
        </w:tc>
      </w:tr>
      <w:tr w:rsidR="009E3DF7" w:rsidRPr="00E33C5C" w:rsidTr="00840F36">
        <w:trPr>
          <w:trHeight w:val="300"/>
          <w:tblHeader/>
        </w:trPr>
        <w:tc>
          <w:tcPr>
            <w:tcW w:w="4707" w:type="dxa"/>
            <w:vMerge/>
            <w:tcBorders>
              <w:left w:val="single" w:sz="4" w:space="0" w:color="auto"/>
              <w:bottom w:val="single" w:sz="4" w:space="0" w:color="auto"/>
              <w:right w:val="single" w:sz="4" w:space="0" w:color="auto"/>
            </w:tcBorders>
            <w:shd w:val="clear" w:color="auto" w:fill="auto"/>
            <w:vAlign w:val="bottom"/>
          </w:tcPr>
          <w:p w:rsidR="009E3DF7" w:rsidRPr="00E33C5C" w:rsidRDefault="009E3DF7" w:rsidP="00840F36">
            <w:pPr>
              <w:spacing w:after="0" w:line="240" w:lineRule="auto"/>
              <w:jc w:val="both"/>
              <w:rPr>
                <w:rFonts w:ascii="Arial" w:hAnsi="Arial" w:cs="Arial"/>
                <w:lang w:eastAsia="ru-RU"/>
              </w:rPr>
            </w:pPr>
          </w:p>
        </w:tc>
        <w:tc>
          <w:tcPr>
            <w:tcW w:w="1701" w:type="dxa"/>
            <w:tcBorders>
              <w:top w:val="single" w:sz="4" w:space="0" w:color="auto"/>
              <w:left w:val="nil"/>
              <w:bottom w:val="single" w:sz="4" w:space="0" w:color="auto"/>
              <w:right w:val="single" w:sz="4" w:space="0" w:color="auto"/>
            </w:tcBorders>
            <w:vAlign w:val="center"/>
          </w:tcPr>
          <w:p w:rsidR="009E3DF7" w:rsidRPr="00E33C5C" w:rsidRDefault="009E3DF7" w:rsidP="00840F36">
            <w:pPr>
              <w:spacing w:after="0" w:line="240" w:lineRule="auto"/>
              <w:jc w:val="center"/>
              <w:rPr>
                <w:rFonts w:ascii="Arial" w:hAnsi="Arial" w:cs="Arial"/>
              </w:rPr>
            </w:pPr>
            <w:r w:rsidRPr="00E33C5C">
              <w:rPr>
                <w:rFonts w:ascii="Arial" w:hAnsi="Arial" w:cs="Arial"/>
              </w:rPr>
              <w:t>млрд рублей</w:t>
            </w:r>
          </w:p>
        </w:tc>
        <w:tc>
          <w:tcPr>
            <w:tcW w:w="1559" w:type="dxa"/>
            <w:tcBorders>
              <w:top w:val="nil"/>
              <w:left w:val="single" w:sz="4" w:space="0" w:color="auto"/>
              <w:bottom w:val="single" w:sz="4" w:space="0" w:color="auto"/>
              <w:right w:val="single" w:sz="4" w:space="0" w:color="auto"/>
            </w:tcBorders>
            <w:shd w:val="clear" w:color="auto" w:fill="auto"/>
            <w:vAlign w:val="center"/>
          </w:tcPr>
          <w:p w:rsidR="009E3DF7" w:rsidRPr="00E33C5C" w:rsidRDefault="009E3DF7" w:rsidP="00840F36">
            <w:pPr>
              <w:spacing w:after="0" w:line="240" w:lineRule="auto"/>
              <w:jc w:val="center"/>
              <w:rPr>
                <w:rFonts w:ascii="Arial" w:hAnsi="Arial" w:cs="Arial"/>
              </w:rPr>
            </w:pPr>
            <w:r w:rsidRPr="00E33C5C">
              <w:rPr>
                <w:rFonts w:ascii="Arial" w:hAnsi="Arial" w:cs="Arial"/>
              </w:rPr>
              <w:t>млрд рублей</w:t>
            </w:r>
          </w:p>
        </w:tc>
        <w:tc>
          <w:tcPr>
            <w:tcW w:w="1418" w:type="dxa"/>
            <w:tcBorders>
              <w:top w:val="nil"/>
              <w:left w:val="nil"/>
              <w:bottom w:val="single" w:sz="4" w:space="0" w:color="auto"/>
              <w:right w:val="single" w:sz="4" w:space="0" w:color="auto"/>
            </w:tcBorders>
            <w:shd w:val="clear" w:color="auto" w:fill="auto"/>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w:t>
            </w:r>
          </w:p>
        </w:tc>
      </w:tr>
      <w:tr w:rsidR="009E3DF7" w:rsidRPr="00E33C5C" w:rsidTr="00840F36">
        <w:trPr>
          <w:trHeight w:val="300"/>
        </w:trPr>
        <w:tc>
          <w:tcPr>
            <w:tcW w:w="4707" w:type="dxa"/>
            <w:tcBorders>
              <w:top w:val="nil"/>
              <w:left w:val="single" w:sz="4" w:space="0" w:color="auto"/>
              <w:bottom w:val="single" w:sz="4" w:space="0" w:color="auto"/>
              <w:right w:val="single" w:sz="4" w:space="0" w:color="auto"/>
            </w:tcBorders>
            <w:shd w:val="clear" w:color="auto" w:fill="auto"/>
            <w:vAlign w:val="center"/>
            <w:hideMark/>
          </w:tcPr>
          <w:p w:rsidR="009E3DF7" w:rsidRPr="00E33C5C" w:rsidRDefault="009E3DF7" w:rsidP="00840F36">
            <w:pPr>
              <w:spacing w:after="0" w:line="240" w:lineRule="auto"/>
              <w:rPr>
                <w:rFonts w:ascii="Arial" w:hAnsi="Arial" w:cs="Arial"/>
                <w:lang w:eastAsia="ru-RU"/>
              </w:rPr>
            </w:pPr>
            <w:r w:rsidRPr="00E33C5C">
              <w:rPr>
                <w:rFonts w:ascii="Arial" w:hAnsi="Arial" w:cs="Arial"/>
                <w:lang w:eastAsia="ru-RU"/>
              </w:rPr>
              <w:t>Выручка, в том числе:</w:t>
            </w:r>
          </w:p>
        </w:tc>
        <w:tc>
          <w:tcPr>
            <w:tcW w:w="1701" w:type="dxa"/>
            <w:tcBorders>
              <w:top w:val="single" w:sz="2" w:space="0" w:color="auto"/>
              <w:left w:val="nil"/>
              <w:bottom w:val="single" w:sz="2" w:space="0" w:color="auto"/>
              <w:right w:val="single" w:sz="2" w:space="0" w:color="auto"/>
            </w:tcBorders>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500,1</w:t>
            </w:r>
          </w:p>
        </w:tc>
        <w:tc>
          <w:tcPr>
            <w:tcW w:w="1559" w:type="dxa"/>
            <w:tcBorders>
              <w:top w:val="nil"/>
              <w:left w:val="single" w:sz="2" w:space="0" w:color="auto"/>
              <w:bottom w:val="single" w:sz="2" w:space="0" w:color="auto"/>
              <w:right w:val="single" w:sz="2" w:space="0" w:color="auto"/>
            </w:tcBorders>
            <w:shd w:val="clear" w:color="auto" w:fill="auto"/>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 xml:space="preserve"> 485,3</w:t>
            </w:r>
          </w:p>
        </w:tc>
        <w:tc>
          <w:tcPr>
            <w:tcW w:w="1418" w:type="dxa"/>
            <w:tcBorders>
              <w:top w:val="nil"/>
              <w:left w:val="nil"/>
              <w:bottom w:val="single" w:sz="2" w:space="0" w:color="auto"/>
              <w:right w:val="single" w:sz="2" w:space="0" w:color="auto"/>
            </w:tcBorders>
            <w:shd w:val="clear" w:color="auto" w:fill="auto"/>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rPr>
              <w:t xml:space="preserve"> 3,0 </w:t>
            </w:r>
          </w:p>
        </w:tc>
      </w:tr>
      <w:tr w:rsidR="009E3DF7" w:rsidRPr="00E33C5C" w:rsidTr="00840F36">
        <w:trPr>
          <w:trHeight w:val="300"/>
        </w:trPr>
        <w:tc>
          <w:tcPr>
            <w:tcW w:w="4707" w:type="dxa"/>
            <w:tcBorders>
              <w:top w:val="nil"/>
              <w:left w:val="single" w:sz="4" w:space="0" w:color="auto"/>
              <w:bottom w:val="single" w:sz="4" w:space="0" w:color="auto"/>
              <w:right w:val="single" w:sz="4" w:space="0" w:color="auto"/>
            </w:tcBorders>
            <w:shd w:val="clear" w:color="auto" w:fill="auto"/>
            <w:vAlign w:val="center"/>
          </w:tcPr>
          <w:p w:rsidR="009E3DF7" w:rsidRPr="00E33C5C" w:rsidRDefault="009E3DF7" w:rsidP="00840F36">
            <w:pPr>
              <w:spacing w:after="0" w:line="240" w:lineRule="auto"/>
              <w:rPr>
                <w:rFonts w:ascii="Arial" w:hAnsi="Arial" w:cs="Arial"/>
              </w:rPr>
            </w:pPr>
            <w:r w:rsidRPr="00E33C5C">
              <w:rPr>
                <w:rFonts w:ascii="Arial" w:hAnsi="Arial" w:cs="Arial"/>
                <w:lang w:eastAsia="ru-RU"/>
              </w:rPr>
              <w:t>- Передача электроэнергии</w:t>
            </w:r>
            <w:r w:rsidRPr="00E33C5C">
              <w:rPr>
                <w:rFonts w:ascii="Arial" w:hAnsi="Arial" w:cs="Arial"/>
              </w:rPr>
              <w:t xml:space="preserve"> </w:t>
            </w:r>
          </w:p>
        </w:tc>
        <w:tc>
          <w:tcPr>
            <w:tcW w:w="1701" w:type="dxa"/>
            <w:tcBorders>
              <w:top w:val="single" w:sz="2" w:space="0" w:color="auto"/>
              <w:left w:val="nil"/>
              <w:bottom w:val="single" w:sz="2" w:space="0" w:color="auto"/>
              <w:right w:val="single" w:sz="2" w:space="0" w:color="auto"/>
            </w:tcBorders>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423,6</w:t>
            </w:r>
          </w:p>
        </w:tc>
        <w:tc>
          <w:tcPr>
            <w:tcW w:w="1559" w:type="dxa"/>
            <w:tcBorders>
              <w:top w:val="nil"/>
              <w:left w:val="single" w:sz="2" w:space="0" w:color="auto"/>
              <w:bottom w:val="single" w:sz="2" w:space="0" w:color="auto"/>
              <w:right w:val="single" w:sz="2" w:space="0" w:color="auto"/>
            </w:tcBorders>
            <w:shd w:val="clear" w:color="auto" w:fill="auto"/>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413,3</w:t>
            </w:r>
          </w:p>
        </w:tc>
        <w:tc>
          <w:tcPr>
            <w:tcW w:w="1418" w:type="dxa"/>
            <w:tcBorders>
              <w:top w:val="nil"/>
              <w:left w:val="nil"/>
              <w:bottom w:val="single" w:sz="2" w:space="0" w:color="auto"/>
              <w:right w:val="single" w:sz="2" w:space="0" w:color="auto"/>
            </w:tcBorders>
            <w:shd w:val="clear" w:color="auto" w:fill="auto"/>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rPr>
              <w:t xml:space="preserve"> 2,5 </w:t>
            </w:r>
          </w:p>
        </w:tc>
      </w:tr>
      <w:tr w:rsidR="009E3DF7" w:rsidRPr="00E33C5C" w:rsidTr="00840F36">
        <w:trPr>
          <w:trHeight w:val="300"/>
        </w:trPr>
        <w:tc>
          <w:tcPr>
            <w:tcW w:w="4707" w:type="dxa"/>
            <w:tcBorders>
              <w:top w:val="nil"/>
              <w:left w:val="single" w:sz="4" w:space="0" w:color="auto"/>
              <w:bottom w:val="single" w:sz="4" w:space="0" w:color="auto"/>
              <w:right w:val="single" w:sz="4" w:space="0" w:color="auto"/>
            </w:tcBorders>
            <w:shd w:val="clear" w:color="auto" w:fill="auto"/>
            <w:vAlign w:val="center"/>
          </w:tcPr>
          <w:p w:rsidR="009E3DF7" w:rsidRPr="00E33C5C" w:rsidRDefault="009E3DF7" w:rsidP="00840F36">
            <w:pPr>
              <w:spacing w:after="0" w:line="240" w:lineRule="auto"/>
              <w:rPr>
                <w:rFonts w:ascii="Arial" w:hAnsi="Arial" w:cs="Arial"/>
                <w:lang w:eastAsia="ru-RU"/>
              </w:rPr>
            </w:pPr>
            <w:r w:rsidRPr="00E33C5C">
              <w:rPr>
                <w:rFonts w:ascii="Arial" w:hAnsi="Arial" w:cs="Arial"/>
                <w:lang w:eastAsia="ru-RU"/>
              </w:rPr>
              <w:t>- Продажа электроэнергии и мощности</w:t>
            </w:r>
          </w:p>
        </w:tc>
        <w:tc>
          <w:tcPr>
            <w:tcW w:w="1701" w:type="dxa"/>
            <w:tcBorders>
              <w:top w:val="single" w:sz="2" w:space="0" w:color="auto"/>
              <w:left w:val="nil"/>
              <w:bottom w:val="single" w:sz="2" w:space="0" w:color="auto"/>
              <w:right w:val="single" w:sz="2" w:space="0" w:color="auto"/>
            </w:tcBorders>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60,3</w:t>
            </w:r>
          </w:p>
        </w:tc>
        <w:tc>
          <w:tcPr>
            <w:tcW w:w="1559" w:type="dxa"/>
            <w:tcBorders>
              <w:top w:val="nil"/>
              <w:left w:val="single" w:sz="2" w:space="0" w:color="auto"/>
              <w:bottom w:val="single" w:sz="2" w:space="0" w:color="auto"/>
              <w:right w:val="single" w:sz="2" w:space="0" w:color="auto"/>
            </w:tcBorders>
            <w:shd w:val="clear" w:color="auto" w:fill="auto"/>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52,2</w:t>
            </w:r>
          </w:p>
        </w:tc>
        <w:tc>
          <w:tcPr>
            <w:tcW w:w="1418" w:type="dxa"/>
            <w:tcBorders>
              <w:top w:val="nil"/>
              <w:left w:val="nil"/>
              <w:bottom w:val="single" w:sz="2" w:space="0" w:color="auto"/>
              <w:right w:val="single" w:sz="2" w:space="0" w:color="auto"/>
            </w:tcBorders>
            <w:shd w:val="clear" w:color="auto" w:fill="auto"/>
          </w:tcPr>
          <w:p w:rsidR="009E3DF7" w:rsidRPr="00E33C5C" w:rsidRDefault="009E3DF7" w:rsidP="00840F36">
            <w:pPr>
              <w:spacing w:after="0" w:line="240" w:lineRule="auto"/>
              <w:jc w:val="center"/>
              <w:rPr>
                <w:rFonts w:ascii="Arial" w:hAnsi="Arial" w:cs="Arial"/>
                <w:lang w:val="en-US" w:eastAsia="ru-RU"/>
              </w:rPr>
            </w:pPr>
            <w:r w:rsidRPr="00E33C5C">
              <w:rPr>
                <w:rFonts w:ascii="Arial" w:hAnsi="Arial" w:cs="Arial"/>
              </w:rPr>
              <w:t xml:space="preserve"> 15,5 </w:t>
            </w:r>
          </w:p>
        </w:tc>
      </w:tr>
      <w:tr w:rsidR="009E3DF7" w:rsidRPr="00E33C5C" w:rsidTr="00840F36">
        <w:trPr>
          <w:trHeight w:val="300"/>
        </w:trPr>
        <w:tc>
          <w:tcPr>
            <w:tcW w:w="4707" w:type="dxa"/>
            <w:tcBorders>
              <w:top w:val="nil"/>
              <w:left w:val="single" w:sz="2" w:space="0" w:color="auto"/>
              <w:bottom w:val="single" w:sz="2" w:space="0" w:color="auto"/>
              <w:right w:val="single" w:sz="2" w:space="0" w:color="auto"/>
            </w:tcBorders>
            <w:shd w:val="clear" w:color="auto" w:fill="auto"/>
            <w:vAlign w:val="center"/>
          </w:tcPr>
          <w:p w:rsidR="009E3DF7" w:rsidRPr="00E33C5C" w:rsidRDefault="009E3DF7" w:rsidP="00840F36">
            <w:pPr>
              <w:spacing w:after="0" w:line="240" w:lineRule="auto"/>
              <w:rPr>
                <w:rFonts w:ascii="Arial" w:hAnsi="Arial" w:cs="Arial"/>
                <w:lang w:eastAsia="ru-RU"/>
              </w:rPr>
            </w:pPr>
            <w:r w:rsidRPr="00E33C5C">
              <w:rPr>
                <w:rFonts w:ascii="Arial" w:hAnsi="Arial" w:cs="Arial"/>
                <w:lang w:eastAsia="ru-RU"/>
              </w:rPr>
              <w:t>- Технологическое присоединение к сетям</w:t>
            </w:r>
          </w:p>
        </w:tc>
        <w:tc>
          <w:tcPr>
            <w:tcW w:w="1701" w:type="dxa"/>
            <w:tcBorders>
              <w:top w:val="single" w:sz="2" w:space="0" w:color="auto"/>
              <w:left w:val="nil"/>
              <w:bottom w:val="single" w:sz="2" w:space="0" w:color="auto"/>
              <w:right w:val="single" w:sz="2" w:space="0" w:color="auto"/>
            </w:tcBorders>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9,5</w:t>
            </w:r>
          </w:p>
        </w:tc>
        <w:tc>
          <w:tcPr>
            <w:tcW w:w="1559" w:type="dxa"/>
            <w:tcBorders>
              <w:top w:val="nil"/>
              <w:left w:val="single" w:sz="2" w:space="0" w:color="auto"/>
              <w:bottom w:val="single" w:sz="2" w:space="0" w:color="auto"/>
              <w:right w:val="single" w:sz="2" w:space="0" w:color="auto"/>
            </w:tcBorders>
            <w:shd w:val="clear" w:color="auto" w:fill="auto"/>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8,3</w:t>
            </w:r>
          </w:p>
        </w:tc>
        <w:tc>
          <w:tcPr>
            <w:tcW w:w="1418" w:type="dxa"/>
            <w:tcBorders>
              <w:top w:val="nil"/>
              <w:left w:val="nil"/>
              <w:bottom w:val="single" w:sz="2" w:space="0" w:color="auto"/>
              <w:right w:val="single" w:sz="2" w:space="0" w:color="auto"/>
            </w:tcBorders>
            <w:shd w:val="clear" w:color="auto" w:fill="auto"/>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rPr>
              <w:t xml:space="preserve"> 14,5 </w:t>
            </w:r>
          </w:p>
        </w:tc>
      </w:tr>
      <w:tr w:rsidR="009E3DF7" w:rsidRPr="00E33C5C" w:rsidTr="00840F36">
        <w:trPr>
          <w:trHeight w:val="300"/>
        </w:trPr>
        <w:tc>
          <w:tcPr>
            <w:tcW w:w="4707" w:type="dxa"/>
            <w:tcBorders>
              <w:top w:val="nil"/>
              <w:left w:val="single" w:sz="4" w:space="0" w:color="auto"/>
              <w:bottom w:val="single" w:sz="4" w:space="0" w:color="auto"/>
              <w:right w:val="single" w:sz="4" w:space="0" w:color="auto"/>
            </w:tcBorders>
            <w:shd w:val="clear" w:color="auto" w:fill="auto"/>
            <w:vAlign w:val="center"/>
          </w:tcPr>
          <w:p w:rsidR="009E3DF7" w:rsidRPr="00E33C5C" w:rsidRDefault="009E3DF7" w:rsidP="00840F36">
            <w:pPr>
              <w:spacing w:after="0" w:line="240" w:lineRule="auto"/>
              <w:rPr>
                <w:rFonts w:ascii="Arial" w:hAnsi="Arial" w:cs="Arial"/>
                <w:lang w:eastAsia="ru-RU"/>
              </w:rPr>
            </w:pPr>
            <w:r w:rsidRPr="00E33C5C">
              <w:rPr>
                <w:rFonts w:ascii="Arial" w:hAnsi="Arial" w:cs="Arial"/>
                <w:lang w:eastAsia="ru-RU"/>
              </w:rPr>
              <w:t>Операционные расходы</w:t>
            </w:r>
          </w:p>
        </w:tc>
        <w:tc>
          <w:tcPr>
            <w:tcW w:w="1701" w:type="dxa"/>
            <w:tcBorders>
              <w:top w:val="single" w:sz="2" w:space="0" w:color="auto"/>
              <w:left w:val="nil"/>
              <w:bottom w:val="single" w:sz="2" w:space="0" w:color="auto"/>
              <w:right w:val="single" w:sz="2" w:space="0" w:color="auto"/>
            </w:tcBorders>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(414,0)</w:t>
            </w:r>
          </w:p>
        </w:tc>
        <w:tc>
          <w:tcPr>
            <w:tcW w:w="1559" w:type="dxa"/>
            <w:tcBorders>
              <w:top w:val="nil"/>
              <w:left w:val="single" w:sz="2" w:space="0" w:color="auto"/>
              <w:bottom w:val="single" w:sz="2" w:space="0" w:color="auto"/>
              <w:right w:val="single" w:sz="2" w:space="0" w:color="auto"/>
            </w:tcBorders>
            <w:shd w:val="clear" w:color="auto" w:fill="auto"/>
            <w:vAlign w:val="center"/>
          </w:tcPr>
          <w:p w:rsidR="009E3DF7" w:rsidRPr="00E33C5C" w:rsidRDefault="009E3DF7" w:rsidP="00E33C5C">
            <w:pPr>
              <w:spacing w:after="0" w:line="240" w:lineRule="auto"/>
              <w:jc w:val="center"/>
              <w:rPr>
                <w:rFonts w:ascii="Arial" w:hAnsi="Arial" w:cs="Arial"/>
                <w:lang w:eastAsia="ru-RU"/>
              </w:rPr>
            </w:pPr>
            <w:r w:rsidRPr="00E33C5C">
              <w:rPr>
                <w:rFonts w:ascii="Arial" w:hAnsi="Arial" w:cs="Arial"/>
                <w:lang w:eastAsia="ru-RU"/>
              </w:rPr>
              <w:t>(400,</w:t>
            </w:r>
            <w:r w:rsidR="00E33C5C" w:rsidRPr="00E33C5C">
              <w:rPr>
                <w:rFonts w:ascii="Arial" w:hAnsi="Arial" w:cs="Arial"/>
                <w:lang w:eastAsia="ru-RU"/>
              </w:rPr>
              <w:t>2</w:t>
            </w:r>
            <w:r w:rsidRPr="00E33C5C">
              <w:rPr>
                <w:rFonts w:ascii="Arial" w:hAnsi="Arial" w:cs="Arial"/>
                <w:lang w:eastAsia="ru-RU"/>
              </w:rPr>
              <w:t>)</w:t>
            </w:r>
          </w:p>
        </w:tc>
        <w:tc>
          <w:tcPr>
            <w:tcW w:w="1418" w:type="dxa"/>
            <w:tcBorders>
              <w:top w:val="nil"/>
              <w:left w:val="nil"/>
              <w:bottom w:val="single" w:sz="2" w:space="0" w:color="auto"/>
              <w:right w:val="single" w:sz="2" w:space="0" w:color="auto"/>
            </w:tcBorders>
            <w:shd w:val="clear" w:color="auto" w:fill="auto"/>
          </w:tcPr>
          <w:p w:rsidR="009E3DF7" w:rsidRPr="00E33C5C" w:rsidRDefault="009E3DF7" w:rsidP="00E33C5C">
            <w:pPr>
              <w:spacing w:after="0" w:line="240" w:lineRule="auto"/>
              <w:jc w:val="center"/>
              <w:rPr>
                <w:rFonts w:ascii="Arial" w:hAnsi="Arial" w:cs="Arial"/>
                <w:lang w:eastAsia="ru-RU"/>
              </w:rPr>
            </w:pPr>
            <w:r w:rsidRPr="00E33C5C">
              <w:rPr>
                <w:rFonts w:ascii="Arial" w:hAnsi="Arial" w:cs="Arial"/>
              </w:rPr>
              <w:t xml:space="preserve"> 3,</w:t>
            </w:r>
            <w:r w:rsidR="00E33C5C" w:rsidRPr="00E33C5C">
              <w:rPr>
                <w:rFonts w:ascii="Arial" w:hAnsi="Arial" w:cs="Arial"/>
              </w:rPr>
              <w:t>4</w:t>
            </w:r>
            <w:r w:rsidRPr="00E33C5C">
              <w:rPr>
                <w:rFonts w:ascii="Arial" w:hAnsi="Arial" w:cs="Arial"/>
              </w:rPr>
              <w:t xml:space="preserve"> </w:t>
            </w:r>
          </w:p>
        </w:tc>
      </w:tr>
      <w:tr w:rsidR="009E3DF7" w:rsidRPr="00E33C5C" w:rsidTr="00840F36">
        <w:trPr>
          <w:trHeight w:val="300"/>
        </w:trPr>
        <w:tc>
          <w:tcPr>
            <w:tcW w:w="4707" w:type="dxa"/>
            <w:tcBorders>
              <w:top w:val="nil"/>
              <w:left w:val="single" w:sz="4" w:space="0" w:color="auto"/>
              <w:bottom w:val="single" w:sz="4" w:space="0" w:color="auto"/>
              <w:right w:val="single" w:sz="4" w:space="0" w:color="auto"/>
            </w:tcBorders>
            <w:shd w:val="clear" w:color="auto" w:fill="auto"/>
            <w:vAlign w:val="center"/>
          </w:tcPr>
          <w:p w:rsidR="009E3DF7" w:rsidRPr="00E33C5C" w:rsidRDefault="009E3DF7" w:rsidP="00840F36">
            <w:pPr>
              <w:spacing w:after="0" w:line="240" w:lineRule="auto"/>
              <w:rPr>
                <w:rFonts w:ascii="Arial" w:hAnsi="Arial" w:cs="Arial"/>
                <w:lang w:eastAsia="ru-RU"/>
              </w:rPr>
            </w:pPr>
            <w:r w:rsidRPr="00E33C5C">
              <w:rPr>
                <w:rFonts w:ascii="Arial" w:hAnsi="Arial" w:cs="Arial"/>
                <w:lang w:eastAsia="ru-RU"/>
              </w:rPr>
              <w:t>Резерв под ожидаемые кредитные убытки</w:t>
            </w:r>
          </w:p>
        </w:tc>
        <w:tc>
          <w:tcPr>
            <w:tcW w:w="1701" w:type="dxa"/>
            <w:tcBorders>
              <w:top w:val="single" w:sz="2" w:space="0" w:color="auto"/>
              <w:left w:val="nil"/>
              <w:bottom w:val="single" w:sz="2" w:space="0" w:color="auto"/>
              <w:right w:val="single" w:sz="2" w:space="0" w:color="auto"/>
            </w:tcBorders>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(10</w:t>
            </w:r>
            <w:r w:rsidR="00E33C5C" w:rsidRPr="00E33C5C">
              <w:rPr>
                <w:rFonts w:ascii="Arial" w:hAnsi="Arial" w:cs="Arial"/>
                <w:lang w:eastAsia="ru-RU"/>
              </w:rPr>
              <w:t>,0</w:t>
            </w:r>
            <w:r w:rsidRPr="00E33C5C">
              <w:rPr>
                <w:rFonts w:ascii="Arial" w:hAnsi="Arial" w:cs="Arial"/>
                <w:lang w:eastAsia="ru-RU"/>
              </w:rPr>
              <w:t>)</w:t>
            </w:r>
          </w:p>
        </w:tc>
        <w:tc>
          <w:tcPr>
            <w:tcW w:w="1559" w:type="dxa"/>
            <w:tcBorders>
              <w:top w:val="nil"/>
              <w:left w:val="single" w:sz="2" w:space="0" w:color="auto"/>
              <w:bottom w:val="single" w:sz="2" w:space="0" w:color="auto"/>
              <w:right w:val="single" w:sz="2" w:space="0" w:color="auto"/>
            </w:tcBorders>
            <w:shd w:val="clear" w:color="auto" w:fill="auto"/>
            <w:vAlign w:val="center"/>
          </w:tcPr>
          <w:p w:rsidR="009E3DF7" w:rsidRPr="00E33C5C" w:rsidRDefault="009E3DF7" w:rsidP="00E33C5C">
            <w:pPr>
              <w:spacing w:after="0" w:line="240" w:lineRule="auto"/>
              <w:jc w:val="center"/>
              <w:rPr>
                <w:rFonts w:ascii="Arial" w:hAnsi="Arial" w:cs="Arial"/>
                <w:lang w:eastAsia="ru-RU"/>
              </w:rPr>
            </w:pPr>
            <w:r w:rsidRPr="00E33C5C">
              <w:rPr>
                <w:rFonts w:ascii="Arial" w:hAnsi="Arial" w:cs="Arial"/>
                <w:lang w:eastAsia="ru-RU"/>
              </w:rPr>
              <w:t>(15,</w:t>
            </w:r>
            <w:r w:rsidR="00E33C5C" w:rsidRPr="00E33C5C">
              <w:rPr>
                <w:rFonts w:ascii="Arial" w:hAnsi="Arial" w:cs="Arial"/>
                <w:lang w:eastAsia="ru-RU"/>
              </w:rPr>
              <w:t>3</w:t>
            </w:r>
            <w:r w:rsidRPr="00E33C5C">
              <w:rPr>
                <w:rFonts w:ascii="Arial" w:hAnsi="Arial" w:cs="Arial"/>
                <w:lang w:eastAsia="ru-RU"/>
              </w:rPr>
              <w:t>)</w:t>
            </w:r>
          </w:p>
        </w:tc>
        <w:tc>
          <w:tcPr>
            <w:tcW w:w="1418" w:type="dxa"/>
            <w:tcBorders>
              <w:top w:val="nil"/>
              <w:left w:val="nil"/>
              <w:bottom w:val="single" w:sz="2" w:space="0" w:color="auto"/>
              <w:right w:val="single" w:sz="2" w:space="0" w:color="auto"/>
            </w:tcBorders>
            <w:shd w:val="clear" w:color="auto" w:fill="auto"/>
          </w:tcPr>
          <w:p w:rsidR="009E3DF7" w:rsidRPr="00E33C5C" w:rsidRDefault="00E33C5C" w:rsidP="00840F36">
            <w:pPr>
              <w:spacing w:after="0" w:line="240" w:lineRule="auto"/>
              <w:jc w:val="center"/>
              <w:rPr>
                <w:rFonts w:ascii="Arial" w:hAnsi="Arial" w:cs="Arial"/>
                <w:lang w:eastAsia="ru-RU"/>
              </w:rPr>
            </w:pPr>
            <w:r w:rsidRPr="00E33C5C">
              <w:rPr>
                <w:rFonts w:ascii="Arial" w:hAnsi="Arial" w:cs="Arial"/>
              </w:rPr>
              <w:t>(34,6)</w:t>
            </w:r>
            <w:r w:rsidR="009E3DF7" w:rsidRPr="00E33C5C">
              <w:rPr>
                <w:rFonts w:ascii="Arial" w:hAnsi="Arial" w:cs="Arial"/>
              </w:rPr>
              <w:t xml:space="preserve"> </w:t>
            </w:r>
          </w:p>
        </w:tc>
      </w:tr>
      <w:tr w:rsidR="009E3DF7" w:rsidRPr="00E33C5C" w:rsidTr="00840F36">
        <w:trPr>
          <w:trHeight w:val="300"/>
        </w:trPr>
        <w:tc>
          <w:tcPr>
            <w:tcW w:w="4707" w:type="dxa"/>
            <w:tcBorders>
              <w:top w:val="nil"/>
              <w:left w:val="single" w:sz="4" w:space="0" w:color="auto"/>
              <w:bottom w:val="single" w:sz="4" w:space="0" w:color="auto"/>
              <w:right w:val="single" w:sz="4" w:space="0" w:color="auto"/>
            </w:tcBorders>
            <w:shd w:val="clear" w:color="auto" w:fill="auto"/>
            <w:vAlign w:val="center"/>
          </w:tcPr>
          <w:p w:rsidR="009E3DF7" w:rsidRPr="00E33C5C" w:rsidRDefault="009E3DF7" w:rsidP="00840F36">
            <w:pPr>
              <w:spacing w:after="0" w:line="240" w:lineRule="auto"/>
              <w:rPr>
                <w:rFonts w:ascii="Arial" w:hAnsi="Arial" w:cs="Arial"/>
                <w:lang w:eastAsia="ru-RU"/>
              </w:rPr>
            </w:pPr>
            <w:r w:rsidRPr="00E33C5C">
              <w:rPr>
                <w:rFonts w:ascii="Arial" w:hAnsi="Arial" w:cs="Arial"/>
                <w:lang w:val="en-US" w:eastAsia="ru-RU"/>
              </w:rPr>
              <w:t>EBITDA</w:t>
            </w:r>
          </w:p>
        </w:tc>
        <w:tc>
          <w:tcPr>
            <w:tcW w:w="1701" w:type="dxa"/>
            <w:tcBorders>
              <w:top w:val="single" w:sz="2" w:space="0" w:color="auto"/>
              <w:left w:val="nil"/>
              <w:bottom w:val="single" w:sz="2" w:space="0" w:color="auto"/>
              <w:right w:val="single" w:sz="2" w:space="0" w:color="auto"/>
            </w:tcBorders>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167,7</w:t>
            </w:r>
          </w:p>
        </w:tc>
        <w:tc>
          <w:tcPr>
            <w:tcW w:w="1559" w:type="dxa"/>
            <w:tcBorders>
              <w:top w:val="nil"/>
              <w:left w:val="single" w:sz="2" w:space="0" w:color="auto"/>
              <w:bottom w:val="single" w:sz="2" w:space="0" w:color="auto"/>
              <w:right w:val="single" w:sz="2" w:space="0" w:color="auto"/>
            </w:tcBorders>
            <w:shd w:val="clear" w:color="auto" w:fill="auto"/>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146,7</w:t>
            </w:r>
          </w:p>
        </w:tc>
        <w:tc>
          <w:tcPr>
            <w:tcW w:w="1418" w:type="dxa"/>
            <w:tcBorders>
              <w:top w:val="nil"/>
              <w:left w:val="nil"/>
              <w:bottom w:val="single" w:sz="2" w:space="0" w:color="auto"/>
              <w:right w:val="single" w:sz="2" w:space="0" w:color="auto"/>
            </w:tcBorders>
            <w:shd w:val="clear" w:color="auto" w:fill="auto"/>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rPr>
              <w:t xml:space="preserve"> 14,3 </w:t>
            </w:r>
          </w:p>
        </w:tc>
      </w:tr>
      <w:tr w:rsidR="009E3DF7" w:rsidRPr="00E33C5C" w:rsidTr="00840F36">
        <w:trPr>
          <w:trHeight w:val="300"/>
        </w:trPr>
        <w:tc>
          <w:tcPr>
            <w:tcW w:w="4707" w:type="dxa"/>
            <w:tcBorders>
              <w:top w:val="nil"/>
              <w:left w:val="single" w:sz="4" w:space="0" w:color="auto"/>
              <w:bottom w:val="single" w:sz="4" w:space="0" w:color="auto"/>
              <w:right w:val="single" w:sz="4" w:space="0" w:color="auto"/>
            </w:tcBorders>
            <w:shd w:val="clear" w:color="auto" w:fill="auto"/>
            <w:vAlign w:val="center"/>
            <w:hideMark/>
          </w:tcPr>
          <w:p w:rsidR="009E3DF7" w:rsidRPr="00E33C5C" w:rsidRDefault="009E3DF7" w:rsidP="00840F36">
            <w:pPr>
              <w:spacing w:after="0" w:line="240" w:lineRule="auto"/>
              <w:rPr>
                <w:rFonts w:ascii="Arial" w:hAnsi="Arial" w:cs="Arial"/>
                <w:lang w:eastAsia="ru-RU"/>
              </w:rPr>
            </w:pPr>
            <w:r w:rsidRPr="00E33C5C">
              <w:rPr>
                <w:rFonts w:ascii="Arial" w:hAnsi="Arial" w:cs="Arial"/>
                <w:lang w:eastAsia="ru-RU"/>
              </w:rPr>
              <w:t>Чистая прибыль</w:t>
            </w:r>
          </w:p>
        </w:tc>
        <w:tc>
          <w:tcPr>
            <w:tcW w:w="1701" w:type="dxa"/>
            <w:tcBorders>
              <w:top w:val="single" w:sz="2" w:space="0" w:color="auto"/>
              <w:left w:val="nil"/>
              <w:bottom w:val="single" w:sz="2" w:space="0" w:color="auto"/>
              <w:right w:val="single" w:sz="2" w:space="0" w:color="auto"/>
            </w:tcBorders>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6</w:t>
            </w:r>
            <w:r w:rsidRPr="00E33C5C">
              <w:rPr>
                <w:rFonts w:ascii="Arial" w:hAnsi="Arial" w:cs="Arial"/>
                <w:lang w:val="en-US" w:eastAsia="ru-RU"/>
              </w:rPr>
              <w:t>7</w:t>
            </w:r>
            <w:r w:rsidRPr="00E33C5C">
              <w:rPr>
                <w:rFonts w:ascii="Arial" w:hAnsi="Arial" w:cs="Arial"/>
                <w:lang w:eastAsia="ru-RU"/>
              </w:rPr>
              <w:t>,</w:t>
            </w:r>
            <w:r w:rsidRPr="00E33C5C">
              <w:rPr>
                <w:rFonts w:ascii="Arial" w:hAnsi="Arial" w:cs="Arial"/>
                <w:lang w:val="en-US" w:eastAsia="ru-RU"/>
              </w:rPr>
              <w:t>9</w:t>
            </w:r>
          </w:p>
        </w:tc>
        <w:tc>
          <w:tcPr>
            <w:tcW w:w="1559" w:type="dxa"/>
            <w:tcBorders>
              <w:top w:val="nil"/>
              <w:left w:val="single" w:sz="2" w:space="0" w:color="auto"/>
              <w:bottom w:val="single" w:sz="2" w:space="0" w:color="auto"/>
              <w:right w:val="single" w:sz="2" w:space="0" w:color="auto"/>
            </w:tcBorders>
            <w:shd w:val="clear" w:color="auto" w:fill="auto"/>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59,1</w:t>
            </w:r>
          </w:p>
        </w:tc>
        <w:tc>
          <w:tcPr>
            <w:tcW w:w="1418" w:type="dxa"/>
            <w:tcBorders>
              <w:top w:val="nil"/>
              <w:left w:val="nil"/>
              <w:bottom w:val="single" w:sz="2" w:space="0" w:color="auto"/>
              <w:right w:val="single" w:sz="2" w:space="0" w:color="auto"/>
            </w:tcBorders>
            <w:shd w:val="clear" w:color="auto" w:fill="auto"/>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rPr>
              <w:t>14,9</w:t>
            </w:r>
          </w:p>
        </w:tc>
      </w:tr>
      <w:tr w:rsidR="009E3DF7" w:rsidRPr="00E33C5C" w:rsidTr="009E3DF7">
        <w:trPr>
          <w:trHeight w:val="300"/>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9E3DF7" w:rsidRPr="00E33C5C" w:rsidRDefault="009E3DF7" w:rsidP="00840F36">
            <w:pPr>
              <w:spacing w:after="0" w:line="240" w:lineRule="auto"/>
              <w:rPr>
                <w:rFonts w:ascii="Arial" w:hAnsi="Arial" w:cs="Arial"/>
                <w:lang w:eastAsia="ru-RU"/>
              </w:rPr>
            </w:pPr>
            <w:r w:rsidRPr="00E33C5C">
              <w:rPr>
                <w:rFonts w:ascii="Arial" w:hAnsi="Arial" w:cs="Arial"/>
                <w:lang w:eastAsia="ru-RU"/>
              </w:rPr>
              <w:t>Чистый долг</w:t>
            </w:r>
            <w:r w:rsidRPr="00E33C5C">
              <w:rPr>
                <w:rStyle w:val="ad"/>
                <w:rFonts w:ascii="Arial" w:hAnsi="Arial" w:cs="Arial"/>
                <w:lang w:eastAsia="ru-RU"/>
              </w:rPr>
              <w:footnoteReference w:id="3"/>
            </w:r>
          </w:p>
        </w:tc>
        <w:tc>
          <w:tcPr>
            <w:tcW w:w="1701" w:type="dxa"/>
            <w:tcBorders>
              <w:top w:val="single" w:sz="2" w:space="0" w:color="auto"/>
              <w:left w:val="nil"/>
              <w:bottom w:val="single" w:sz="2" w:space="0" w:color="auto"/>
              <w:right w:val="single" w:sz="2" w:space="0" w:color="auto"/>
            </w:tcBorders>
            <w:shd w:val="clear" w:color="auto" w:fill="auto"/>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402,9</w:t>
            </w:r>
          </w:p>
        </w:tc>
        <w:tc>
          <w:tcPr>
            <w:tcW w:w="1559" w:type="dxa"/>
            <w:tcBorders>
              <w:top w:val="nil"/>
              <w:left w:val="single" w:sz="2" w:space="0" w:color="auto"/>
              <w:bottom w:val="single" w:sz="2" w:space="0" w:color="auto"/>
              <w:right w:val="single" w:sz="2" w:space="0" w:color="auto"/>
            </w:tcBorders>
            <w:shd w:val="clear" w:color="auto" w:fill="auto"/>
            <w:vAlign w:val="center"/>
          </w:tcPr>
          <w:p w:rsidR="009E3DF7" w:rsidRPr="00E33C5C" w:rsidRDefault="009E3DF7" w:rsidP="00840F36">
            <w:pPr>
              <w:spacing w:after="0" w:line="240" w:lineRule="auto"/>
              <w:jc w:val="center"/>
              <w:rPr>
                <w:rFonts w:ascii="Arial" w:hAnsi="Arial" w:cs="Arial"/>
                <w:lang w:val="en-US" w:eastAsia="ru-RU"/>
              </w:rPr>
            </w:pPr>
            <w:r w:rsidRPr="00E33C5C">
              <w:rPr>
                <w:rFonts w:ascii="Arial" w:hAnsi="Arial" w:cs="Arial"/>
                <w:lang w:eastAsia="ru-RU"/>
              </w:rPr>
              <w:t>432,2</w:t>
            </w:r>
            <w:r w:rsidRPr="00E33C5C">
              <w:rPr>
                <w:rStyle w:val="ad"/>
                <w:rFonts w:ascii="Arial" w:hAnsi="Arial" w:cs="Arial"/>
                <w:lang w:val="en-US" w:eastAsia="ru-RU"/>
              </w:rPr>
              <w:footnoteReference w:id="4"/>
            </w:r>
          </w:p>
        </w:tc>
        <w:tc>
          <w:tcPr>
            <w:tcW w:w="1418" w:type="dxa"/>
            <w:tcBorders>
              <w:top w:val="nil"/>
              <w:left w:val="nil"/>
              <w:bottom w:val="single" w:sz="2" w:space="0" w:color="auto"/>
              <w:right w:val="single" w:sz="2" w:space="0" w:color="auto"/>
            </w:tcBorders>
            <w:shd w:val="clear" w:color="auto" w:fill="auto"/>
            <w:vAlign w:val="center"/>
          </w:tcPr>
          <w:p w:rsidR="009E3DF7" w:rsidRPr="00E33C5C" w:rsidRDefault="009E3DF7" w:rsidP="00740DEF">
            <w:pPr>
              <w:spacing w:after="0" w:line="240" w:lineRule="auto"/>
              <w:jc w:val="center"/>
              <w:rPr>
                <w:rFonts w:ascii="Arial" w:hAnsi="Arial" w:cs="Arial"/>
                <w:lang w:eastAsia="ru-RU"/>
              </w:rPr>
            </w:pPr>
            <w:r w:rsidRPr="00E33C5C">
              <w:rPr>
                <w:rFonts w:ascii="Arial" w:hAnsi="Arial" w:cs="Arial"/>
                <w:lang w:eastAsia="ru-RU"/>
              </w:rPr>
              <w:t>(29,</w:t>
            </w:r>
            <w:r w:rsidR="00740DEF">
              <w:rPr>
                <w:rFonts w:ascii="Arial" w:hAnsi="Arial" w:cs="Arial"/>
                <w:lang w:eastAsia="ru-RU"/>
              </w:rPr>
              <w:t>3</w:t>
            </w:r>
            <w:bookmarkStart w:id="0" w:name="_GoBack"/>
            <w:bookmarkEnd w:id="0"/>
            <w:r w:rsidRPr="00E33C5C">
              <w:rPr>
                <w:rFonts w:ascii="Arial" w:hAnsi="Arial" w:cs="Arial"/>
                <w:lang w:eastAsia="ru-RU"/>
              </w:rPr>
              <w:t>)</w:t>
            </w:r>
          </w:p>
        </w:tc>
      </w:tr>
      <w:tr w:rsidR="009E3DF7" w:rsidRPr="00E33C5C" w:rsidTr="00840F36">
        <w:trPr>
          <w:trHeight w:val="300"/>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9E3DF7" w:rsidRPr="00E33C5C" w:rsidRDefault="009E3DF7" w:rsidP="00840F36">
            <w:pPr>
              <w:spacing w:after="0" w:line="240" w:lineRule="auto"/>
              <w:rPr>
                <w:rFonts w:ascii="Arial" w:hAnsi="Arial" w:cs="Arial"/>
                <w:lang w:eastAsia="ru-RU"/>
              </w:rPr>
            </w:pPr>
            <w:r w:rsidRPr="00E33C5C">
              <w:rPr>
                <w:rFonts w:ascii="Arial" w:hAnsi="Arial" w:cs="Arial"/>
                <w:lang w:eastAsia="ru-RU"/>
              </w:rPr>
              <w:t>Чистый поток денежных средств от операционной деятельности</w:t>
            </w:r>
          </w:p>
        </w:tc>
        <w:tc>
          <w:tcPr>
            <w:tcW w:w="1701" w:type="dxa"/>
            <w:tcBorders>
              <w:top w:val="single" w:sz="2" w:space="0" w:color="auto"/>
              <w:left w:val="nil"/>
              <w:bottom w:val="single" w:sz="2" w:space="0" w:color="auto"/>
              <w:right w:val="single" w:sz="2" w:space="0" w:color="auto"/>
            </w:tcBorders>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103,0</w:t>
            </w:r>
          </w:p>
        </w:tc>
        <w:tc>
          <w:tcPr>
            <w:tcW w:w="1559" w:type="dxa"/>
            <w:tcBorders>
              <w:top w:val="nil"/>
              <w:left w:val="single" w:sz="2" w:space="0" w:color="auto"/>
              <w:bottom w:val="single" w:sz="2" w:space="0" w:color="auto"/>
              <w:right w:val="single" w:sz="2" w:space="0" w:color="auto"/>
            </w:tcBorders>
            <w:shd w:val="clear" w:color="auto" w:fill="auto"/>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106,8</w:t>
            </w:r>
          </w:p>
        </w:tc>
        <w:tc>
          <w:tcPr>
            <w:tcW w:w="1418" w:type="dxa"/>
            <w:tcBorders>
              <w:top w:val="nil"/>
              <w:left w:val="nil"/>
              <w:bottom w:val="single" w:sz="2" w:space="0" w:color="auto"/>
              <w:right w:val="single" w:sz="2" w:space="0" w:color="auto"/>
            </w:tcBorders>
            <w:shd w:val="clear" w:color="auto" w:fill="auto"/>
            <w:vAlign w:val="center"/>
          </w:tcPr>
          <w:p w:rsidR="009E3DF7" w:rsidRPr="00E33C5C" w:rsidRDefault="009E3DF7" w:rsidP="00840F36">
            <w:pPr>
              <w:spacing w:after="0" w:line="240" w:lineRule="auto"/>
              <w:jc w:val="center"/>
              <w:rPr>
                <w:rFonts w:ascii="Arial" w:hAnsi="Arial" w:cs="Arial"/>
                <w:lang w:eastAsia="ru-RU"/>
              </w:rPr>
            </w:pPr>
            <w:r w:rsidRPr="00E33C5C">
              <w:rPr>
                <w:rFonts w:ascii="Arial" w:hAnsi="Arial" w:cs="Arial"/>
                <w:lang w:eastAsia="ru-RU"/>
              </w:rPr>
              <w:t>(3,6)</w:t>
            </w:r>
          </w:p>
        </w:tc>
      </w:tr>
    </w:tbl>
    <w:p w:rsidR="006622C9" w:rsidRDefault="006622C9" w:rsidP="000B3D3C">
      <w:pPr>
        <w:spacing w:line="240" w:lineRule="auto"/>
        <w:jc w:val="both"/>
        <w:rPr>
          <w:rFonts w:ascii="Arial" w:hAnsi="Arial" w:cs="Arial"/>
          <w:color w:val="000000" w:themeColor="text1"/>
          <w:lang w:eastAsia="ru-RU"/>
        </w:rPr>
      </w:pPr>
    </w:p>
    <w:p w:rsidR="006622C9" w:rsidRPr="00D81869" w:rsidRDefault="006622C9" w:rsidP="006622C9">
      <w:pPr>
        <w:spacing w:line="240" w:lineRule="auto"/>
        <w:jc w:val="both"/>
        <w:rPr>
          <w:rFonts w:ascii="Arial" w:hAnsi="Arial" w:cs="Arial"/>
          <w:color w:val="000000" w:themeColor="text1"/>
          <w:lang w:eastAsia="ru-RU"/>
        </w:rPr>
      </w:pPr>
      <w:r w:rsidRPr="00D81869">
        <w:rPr>
          <w:rFonts w:ascii="Arial" w:hAnsi="Arial" w:cs="Arial"/>
          <w:color w:val="000000" w:themeColor="text1"/>
          <w:lang w:eastAsia="ru-RU"/>
        </w:rPr>
        <w:t xml:space="preserve">Основными факторами </w:t>
      </w:r>
      <w:r>
        <w:rPr>
          <w:rFonts w:ascii="Arial" w:hAnsi="Arial" w:cs="Arial"/>
          <w:color w:val="000000" w:themeColor="text1"/>
          <w:lang w:eastAsia="ru-RU"/>
        </w:rPr>
        <w:t>изменения</w:t>
      </w:r>
      <w:r w:rsidRPr="00D81869">
        <w:rPr>
          <w:rFonts w:ascii="Arial" w:hAnsi="Arial" w:cs="Arial"/>
          <w:color w:val="000000" w:themeColor="text1"/>
          <w:lang w:eastAsia="ru-RU"/>
        </w:rPr>
        <w:t xml:space="preserve"> финансовых показателей являются:</w:t>
      </w:r>
    </w:p>
    <w:p w:rsidR="00AD17C3" w:rsidRPr="00AD17C3" w:rsidRDefault="00AD17C3" w:rsidP="00AD17C3">
      <w:pPr>
        <w:spacing w:line="240" w:lineRule="auto"/>
        <w:jc w:val="both"/>
        <w:rPr>
          <w:rFonts w:ascii="Arial" w:hAnsi="Arial" w:cs="Arial"/>
          <w:color w:val="000000" w:themeColor="text1"/>
          <w:lang w:eastAsia="ru-RU"/>
        </w:rPr>
      </w:pPr>
      <w:r w:rsidRPr="00AD17C3">
        <w:rPr>
          <w:rFonts w:ascii="Arial" w:hAnsi="Arial" w:cs="Arial"/>
          <w:color w:val="000000" w:themeColor="text1"/>
          <w:lang w:eastAsia="ru-RU"/>
        </w:rPr>
        <w:t>- рост основного сегмента выручки - от передачи электроэнергии на 10</w:t>
      </w:r>
      <w:r>
        <w:rPr>
          <w:rFonts w:ascii="Arial" w:hAnsi="Arial" w:cs="Arial"/>
          <w:color w:val="000000" w:themeColor="text1"/>
          <w:lang w:eastAsia="ru-RU"/>
        </w:rPr>
        <w:t>,3</w:t>
      </w:r>
      <w:r w:rsidRPr="00AD17C3">
        <w:rPr>
          <w:rFonts w:ascii="Arial" w:hAnsi="Arial" w:cs="Arial"/>
          <w:color w:val="000000" w:themeColor="text1"/>
          <w:lang w:eastAsia="ru-RU"/>
        </w:rPr>
        <w:t xml:space="preserve"> млрд рублей за счет индексации тарифа;</w:t>
      </w:r>
    </w:p>
    <w:p w:rsidR="00AD17C3" w:rsidRPr="00AD17C3" w:rsidRDefault="00AD17C3" w:rsidP="00AD17C3">
      <w:pPr>
        <w:spacing w:line="240" w:lineRule="auto"/>
        <w:jc w:val="both"/>
        <w:rPr>
          <w:rFonts w:ascii="Arial" w:hAnsi="Arial" w:cs="Arial"/>
          <w:color w:val="000000" w:themeColor="text1"/>
          <w:lang w:eastAsia="ru-RU"/>
        </w:rPr>
      </w:pPr>
      <w:r w:rsidRPr="00AD17C3">
        <w:rPr>
          <w:rFonts w:ascii="Arial" w:hAnsi="Arial" w:cs="Arial"/>
          <w:color w:val="000000" w:themeColor="text1"/>
          <w:lang w:eastAsia="ru-RU"/>
        </w:rPr>
        <w:t xml:space="preserve">- рост выручки от продажи электроэнергии и мощности на </w:t>
      </w:r>
      <w:r>
        <w:rPr>
          <w:rFonts w:ascii="Arial" w:hAnsi="Arial" w:cs="Arial"/>
          <w:color w:val="000000" w:themeColor="text1"/>
          <w:lang w:eastAsia="ru-RU"/>
        </w:rPr>
        <w:t>8,1</w:t>
      </w:r>
      <w:r w:rsidRPr="00AD17C3">
        <w:rPr>
          <w:rFonts w:ascii="Arial" w:hAnsi="Arial" w:cs="Arial"/>
          <w:color w:val="000000" w:themeColor="text1"/>
          <w:lang w:eastAsia="ru-RU"/>
        </w:rPr>
        <w:t xml:space="preserve"> млрд рублей </w:t>
      </w:r>
      <w:r>
        <w:rPr>
          <w:rFonts w:ascii="Arial" w:hAnsi="Arial" w:cs="Arial"/>
          <w:color w:val="000000" w:themeColor="text1"/>
          <w:lang w:eastAsia="ru-RU"/>
        </w:rPr>
        <w:t xml:space="preserve">в связи с </w:t>
      </w:r>
      <w:r w:rsidRPr="00AD17C3">
        <w:rPr>
          <w:rFonts w:ascii="Arial" w:hAnsi="Arial" w:cs="Arial"/>
          <w:color w:val="000000" w:themeColor="text1"/>
          <w:lang w:eastAsia="ru-RU"/>
        </w:rPr>
        <w:t>увеличением объемов реализации в условиях подхвата функции Гарантирующего поставщика по ряду ДЗО;</w:t>
      </w:r>
    </w:p>
    <w:p w:rsidR="00AD17C3" w:rsidRPr="00AD17C3" w:rsidRDefault="00AD17C3" w:rsidP="00AD17C3">
      <w:pPr>
        <w:spacing w:line="240" w:lineRule="auto"/>
        <w:jc w:val="both"/>
        <w:rPr>
          <w:rFonts w:ascii="Arial" w:hAnsi="Arial" w:cs="Arial"/>
          <w:color w:val="000000" w:themeColor="text1"/>
          <w:lang w:eastAsia="ru-RU"/>
        </w:rPr>
      </w:pPr>
      <w:r w:rsidRPr="00AD17C3">
        <w:rPr>
          <w:rFonts w:ascii="Arial" w:hAnsi="Arial" w:cs="Arial"/>
          <w:color w:val="000000" w:themeColor="text1"/>
          <w:lang w:eastAsia="ru-RU"/>
        </w:rPr>
        <w:t xml:space="preserve">- рост операционных расходов на </w:t>
      </w:r>
      <w:r>
        <w:rPr>
          <w:rFonts w:ascii="Arial" w:hAnsi="Arial" w:cs="Arial"/>
          <w:color w:val="000000" w:themeColor="text1"/>
          <w:lang w:eastAsia="ru-RU"/>
        </w:rPr>
        <w:t>13,8</w:t>
      </w:r>
      <w:r w:rsidRPr="00AD17C3">
        <w:rPr>
          <w:rFonts w:ascii="Arial" w:hAnsi="Arial" w:cs="Arial"/>
          <w:color w:val="000000" w:themeColor="text1"/>
          <w:lang w:eastAsia="ru-RU"/>
        </w:rPr>
        <w:t xml:space="preserve"> млрд рублей, ключевое влияние оказала динамика неподконтрольных расходов: </w:t>
      </w:r>
    </w:p>
    <w:p w:rsidR="00AD17C3" w:rsidRPr="00AD17C3" w:rsidRDefault="00AD17C3" w:rsidP="00AD17C3">
      <w:pPr>
        <w:spacing w:line="240" w:lineRule="auto"/>
        <w:jc w:val="both"/>
        <w:rPr>
          <w:rFonts w:ascii="Arial" w:hAnsi="Arial" w:cs="Arial"/>
          <w:color w:val="000000" w:themeColor="text1"/>
          <w:lang w:eastAsia="ru-RU"/>
        </w:rPr>
      </w:pPr>
      <w:r w:rsidRPr="00AD17C3">
        <w:rPr>
          <w:rFonts w:ascii="Arial" w:hAnsi="Arial" w:cs="Arial"/>
          <w:color w:val="000000" w:themeColor="text1"/>
          <w:lang w:eastAsia="ru-RU"/>
        </w:rPr>
        <w:t>1. покупка электроэнергии для компенсации потерь в результате роста средневзвешенной цены на покупку электроэнергии</w:t>
      </w:r>
      <w:r w:rsidR="00E75A0F">
        <w:rPr>
          <w:rFonts w:ascii="Arial" w:hAnsi="Arial" w:cs="Arial"/>
          <w:color w:val="000000" w:themeColor="text1"/>
          <w:lang w:eastAsia="ru-RU"/>
        </w:rPr>
        <w:t xml:space="preserve"> </w:t>
      </w:r>
      <w:r w:rsidR="00E75A0F" w:rsidRPr="00E75A0F">
        <w:rPr>
          <w:rFonts w:ascii="Arial" w:hAnsi="Arial" w:cs="Arial"/>
          <w:color w:val="000000" w:themeColor="text1"/>
          <w:lang w:eastAsia="ru-RU"/>
        </w:rPr>
        <w:t>при снижении объема потерь</w:t>
      </w:r>
      <w:r w:rsidRPr="00AD17C3">
        <w:rPr>
          <w:rFonts w:ascii="Arial" w:hAnsi="Arial" w:cs="Arial"/>
          <w:color w:val="000000" w:themeColor="text1"/>
          <w:lang w:eastAsia="ru-RU"/>
        </w:rPr>
        <w:t>;</w:t>
      </w:r>
    </w:p>
    <w:p w:rsidR="00AD17C3" w:rsidRPr="00AD17C3" w:rsidRDefault="00AD17C3" w:rsidP="00AD17C3">
      <w:pPr>
        <w:spacing w:line="240" w:lineRule="auto"/>
        <w:jc w:val="both"/>
        <w:rPr>
          <w:rFonts w:ascii="Arial" w:hAnsi="Arial" w:cs="Arial"/>
          <w:color w:val="000000" w:themeColor="text1"/>
          <w:lang w:eastAsia="ru-RU"/>
        </w:rPr>
      </w:pPr>
      <w:r w:rsidRPr="00AD17C3">
        <w:rPr>
          <w:rFonts w:ascii="Arial" w:hAnsi="Arial" w:cs="Arial"/>
          <w:color w:val="000000" w:themeColor="text1"/>
          <w:lang w:eastAsia="ru-RU"/>
        </w:rPr>
        <w:t>2. услуги прочих ТСО в связи с индексацией тарифов на услуги прочих ТСО;</w:t>
      </w:r>
    </w:p>
    <w:p w:rsidR="00AD17C3" w:rsidRPr="00AD17C3" w:rsidRDefault="00AD17C3" w:rsidP="00AD17C3">
      <w:pPr>
        <w:spacing w:line="240" w:lineRule="auto"/>
        <w:jc w:val="both"/>
        <w:rPr>
          <w:rFonts w:ascii="Arial" w:hAnsi="Arial" w:cs="Arial"/>
          <w:color w:val="000000" w:themeColor="text1"/>
          <w:lang w:eastAsia="ru-RU"/>
        </w:rPr>
      </w:pPr>
      <w:r w:rsidRPr="00AD17C3">
        <w:rPr>
          <w:rFonts w:ascii="Arial" w:hAnsi="Arial" w:cs="Arial"/>
          <w:color w:val="000000" w:themeColor="text1"/>
          <w:lang w:eastAsia="ru-RU"/>
        </w:rPr>
        <w:t xml:space="preserve">3. покупка электроэнергии для продажи в связи с подхватом функции Гарантирующего поставщика, при этом эти затраты компенсируются ростом выручки от продажи электроэнергии; </w:t>
      </w:r>
    </w:p>
    <w:p w:rsidR="006C67DF" w:rsidRPr="009D78AA" w:rsidRDefault="00AD17C3" w:rsidP="00AD17C3">
      <w:pPr>
        <w:spacing w:line="240" w:lineRule="auto"/>
        <w:jc w:val="both"/>
        <w:rPr>
          <w:rFonts w:ascii="Arial" w:hAnsi="Arial" w:cs="Arial"/>
          <w:color w:val="000000" w:themeColor="text1"/>
          <w:lang w:eastAsia="ru-RU"/>
        </w:rPr>
      </w:pPr>
      <w:r w:rsidRPr="00AD17C3">
        <w:rPr>
          <w:rFonts w:ascii="Arial" w:hAnsi="Arial" w:cs="Arial"/>
          <w:color w:val="000000" w:themeColor="text1"/>
          <w:lang w:eastAsia="ru-RU"/>
        </w:rPr>
        <w:t xml:space="preserve">4. </w:t>
      </w:r>
      <w:r w:rsidR="00D54ADB">
        <w:rPr>
          <w:rFonts w:ascii="Arial" w:hAnsi="Arial" w:cs="Arial"/>
          <w:color w:val="000000" w:themeColor="text1"/>
          <w:lang w:eastAsia="ru-RU"/>
        </w:rPr>
        <w:t>а</w:t>
      </w:r>
      <w:r w:rsidR="00D54ADB" w:rsidRPr="00D54ADB">
        <w:rPr>
          <w:rFonts w:ascii="Arial" w:hAnsi="Arial" w:cs="Arial"/>
          <w:color w:val="000000" w:themeColor="text1"/>
          <w:lang w:eastAsia="ru-RU"/>
        </w:rPr>
        <w:t>мортизац</w:t>
      </w:r>
      <w:r w:rsidR="00D54ADB">
        <w:rPr>
          <w:rFonts w:ascii="Arial" w:hAnsi="Arial" w:cs="Arial"/>
          <w:color w:val="000000" w:themeColor="text1"/>
          <w:lang w:eastAsia="ru-RU"/>
        </w:rPr>
        <w:t>ия</w:t>
      </w:r>
      <w:r w:rsidR="00D54ADB" w:rsidRPr="00D54ADB">
        <w:rPr>
          <w:rFonts w:ascii="Arial" w:hAnsi="Arial" w:cs="Arial"/>
          <w:color w:val="000000" w:themeColor="text1"/>
          <w:lang w:eastAsia="ru-RU"/>
        </w:rPr>
        <w:t xml:space="preserve"> </w:t>
      </w:r>
      <w:r w:rsidR="00D54ADB">
        <w:rPr>
          <w:rFonts w:ascii="Arial" w:hAnsi="Arial" w:cs="Arial"/>
          <w:color w:val="000000" w:themeColor="text1"/>
          <w:lang w:eastAsia="ru-RU"/>
        </w:rPr>
        <w:t>в результате</w:t>
      </w:r>
      <w:r w:rsidR="00D54ADB" w:rsidRPr="00D54ADB">
        <w:rPr>
          <w:rFonts w:ascii="Arial" w:hAnsi="Arial" w:cs="Arial"/>
          <w:color w:val="000000" w:themeColor="text1"/>
          <w:lang w:eastAsia="ru-RU"/>
        </w:rPr>
        <w:t xml:space="preserve"> ввод</w:t>
      </w:r>
      <w:r w:rsidR="00D54ADB">
        <w:rPr>
          <w:rFonts w:ascii="Arial" w:hAnsi="Arial" w:cs="Arial"/>
          <w:color w:val="000000" w:themeColor="text1"/>
          <w:lang w:eastAsia="ru-RU"/>
        </w:rPr>
        <w:t>а</w:t>
      </w:r>
      <w:r w:rsidR="00D54ADB" w:rsidRPr="00D54ADB">
        <w:rPr>
          <w:rFonts w:ascii="Arial" w:hAnsi="Arial" w:cs="Arial"/>
          <w:color w:val="000000" w:themeColor="text1"/>
          <w:lang w:eastAsia="ru-RU"/>
        </w:rPr>
        <w:t xml:space="preserve"> в эксплуатацию новых объектов основных средств в рамках реализации инвестиционной программы</w:t>
      </w:r>
      <w:r w:rsidRPr="00AD17C3">
        <w:rPr>
          <w:rFonts w:ascii="Arial" w:hAnsi="Arial" w:cs="Arial"/>
          <w:color w:val="000000" w:themeColor="text1"/>
          <w:lang w:eastAsia="ru-RU"/>
        </w:rPr>
        <w:t>.</w:t>
      </w:r>
    </w:p>
    <w:p w:rsidR="006622C9" w:rsidRPr="00E462D0" w:rsidRDefault="006622C9" w:rsidP="006622C9">
      <w:pPr>
        <w:spacing w:line="240" w:lineRule="auto"/>
        <w:jc w:val="both"/>
        <w:rPr>
          <w:rFonts w:ascii="Arial" w:hAnsi="Arial" w:cs="Arial"/>
          <w:lang w:eastAsia="ru-RU"/>
        </w:rPr>
      </w:pPr>
      <w:r w:rsidRPr="00D81869">
        <w:rPr>
          <w:rFonts w:ascii="Arial" w:hAnsi="Arial" w:cs="Arial"/>
          <w:color w:val="000000" w:themeColor="text1"/>
          <w:lang w:eastAsia="ru-RU"/>
        </w:rPr>
        <w:t xml:space="preserve">По итогам </w:t>
      </w:r>
      <w:r w:rsidR="0094203A">
        <w:rPr>
          <w:rFonts w:ascii="Arial" w:hAnsi="Arial" w:cs="Arial"/>
          <w:color w:val="000000" w:themeColor="text1"/>
          <w:lang w:eastAsia="ru-RU"/>
        </w:rPr>
        <w:t>6 месяцев 2019</w:t>
      </w:r>
      <w:r w:rsidRPr="00D81869">
        <w:rPr>
          <w:rFonts w:ascii="Arial" w:hAnsi="Arial" w:cs="Arial"/>
          <w:color w:val="000000" w:themeColor="text1"/>
          <w:lang w:eastAsia="ru-RU"/>
        </w:rPr>
        <w:t xml:space="preserve"> года активы </w:t>
      </w:r>
      <w:r w:rsidRPr="00A021DC">
        <w:rPr>
          <w:rFonts w:ascii="Arial" w:hAnsi="Arial" w:cs="Arial"/>
          <w:color w:val="000000" w:themeColor="text1"/>
          <w:lang w:eastAsia="ru-RU"/>
        </w:rPr>
        <w:t xml:space="preserve">Группы увеличились на </w:t>
      </w:r>
      <w:r w:rsidR="00A021DC" w:rsidRPr="00A021DC">
        <w:rPr>
          <w:rFonts w:ascii="Arial" w:hAnsi="Arial" w:cs="Arial"/>
        </w:rPr>
        <w:t>3,</w:t>
      </w:r>
      <w:r w:rsidR="002C48DE">
        <w:rPr>
          <w:rFonts w:ascii="Arial" w:hAnsi="Arial" w:cs="Arial"/>
        </w:rPr>
        <w:t>5</w:t>
      </w:r>
      <w:r w:rsidRPr="00A021DC">
        <w:rPr>
          <w:rFonts w:ascii="Arial" w:hAnsi="Arial" w:cs="Arial"/>
          <w:color w:val="000000" w:themeColor="text1"/>
          <w:lang w:eastAsia="ru-RU"/>
        </w:rPr>
        <w:t xml:space="preserve">% до </w:t>
      </w:r>
      <w:r w:rsidR="00A021DC" w:rsidRPr="00A021DC">
        <w:rPr>
          <w:rFonts w:ascii="Arial" w:hAnsi="Arial" w:cs="Arial"/>
        </w:rPr>
        <w:t>2 60</w:t>
      </w:r>
      <w:r w:rsidR="002C48DE">
        <w:rPr>
          <w:rFonts w:ascii="Arial" w:hAnsi="Arial" w:cs="Arial"/>
        </w:rPr>
        <w:t>7</w:t>
      </w:r>
      <w:r w:rsidR="00A021DC" w:rsidRPr="00A021DC">
        <w:rPr>
          <w:rFonts w:ascii="Arial" w:hAnsi="Arial" w:cs="Arial"/>
        </w:rPr>
        <w:t>,</w:t>
      </w:r>
      <w:r w:rsidR="002C48DE">
        <w:rPr>
          <w:rFonts w:ascii="Arial" w:hAnsi="Arial" w:cs="Arial"/>
        </w:rPr>
        <w:t>7</w:t>
      </w:r>
      <w:r w:rsidR="00A021DC" w:rsidRPr="00A021DC">
        <w:rPr>
          <w:rFonts w:ascii="Arial" w:hAnsi="Arial" w:cs="Arial"/>
        </w:rPr>
        <w:t xml:space="preserve"> </w:t>
      </w:r>
      <w:r w:rsidR="0094203A" w:rsidRPr="00A021DC">
        <w:rPr>
          <w:rFonts w:ascii="Arial" w:hAnsi="Arial" w:cs="Arial"/>
          <w:color w:val="000000" w:themeColor="text1"/>
          <w:lang w:eastAsia="ru-RU"/>
        </w:rPr>
        <w:t>млрд</w:t>
      </w:r>
      <w:r w:rsidR="0094203A">
        <w:rPr>
          <w:rFonts w:ascii="Arial" w:hAnsi="Arial" w:cs="Arial"/>
          <w:color w:val="000000" w:themeColor="text1"/>
          <w:lang w:eastAsia="ru-RU"/>
        </w:rPr>
        <w:t xml:space="preserve"> рублей (на 3</w:t>
      </w:r>
      <w:r w:rsidR="00802E2F">
        <w:rPr>
          <w:rFonts w:ascii="Arial" w:hAnsi="Arial" w:cs="Arial"/>
          <w:color w:val="000000" w:themeColor="text1"/>
          <w:lang w:eastAsia="ru-RU"/>
        </w:rPr>
        <w:t>1</w:t>
      </w:r>
      <w:r w:rsidRPr="00D81869">
        <w:rPr>
          <w:rFonts w:ascii="Arial" w:hAnsi="Arial" w:cs="Arial"/>
          <w:color w:val="000000" w:themeColor="text1"/>
          <w:lang w:eastAsia="ru-RU"/>
        </w:rPr>
        <w:t xml:space="preserve"> </w:t>
      </w:r>
      <w:r w:rsidR="00802E2F">
        <w:rPr>
          <w:rFonts w:ascii="Arial" w:hAnsi="Arial" w:cs="Arial"/>
          <w:color w:val="000000" w:themeColor="text1"/>
          <w:lang w:eastAsia="ru-RU"/>
        </w:rPr>
        <w:t xml:space="preserve">декабря </w:t>
      </w:r>
      <w:r w:rsidRPr="00D81869">
        <w:rPr>
          <w:rFonts w:ascii="Arial" w:hAnsi="Arial" w:cs="Arial"/>
          <w:color w:val="000000" w:themeColor="text1"/>
          <w:lang w:eastAsia="ru-RU"/>
        </w:rPr>
        <w:t>201</w:t>
      </w:r>
      <w:r w:rsidR="0094203A">
        <w:rPr>
          <w:rFonts w:ascii="Arial" w:hAnsi="Arial" w:cs="Arial"/>
          <w:color w:val="000000" w:themeColor="text1"/>
          <w:lang w:eastAsia="ru-RU"/>
        </w:rPr>
        <w:t>8</w:t>
      </w:r>
      <w:r>
        <w:rPr>
          <w:rFonts w:ascii="Arial" w:hAnsi="Arial" w:cs="Arial"/>
          <w:color w:val="000000" w:themeColor="text1"/>
          <w:lang w:eastAsia="ru-RU"/>
        </w:rPr>
        <w:t>:</w:t>
      </w:r>
      <w:r w:rsidR="00A021DC" w:rsidRPr="00A021DC">
        <w:t xml:space="preserve"> </w:t>
      </w:r>
      <w:r w:rsidR="00A021DC" w:rsidRPr="00A021DC">
        <w:rPr>
          <w:rFonts w:ascii="Arial" w:hAnsi="Arial" w:cs="Arial"/>
          <w:color w:val="000000" w:themeColor="text1"/>
          <w:lang w:eastAsia="ru-RU"/>
        </w:rPr>
        <w:t>2</w:t>
      </w:r>
      <w:r w:rsidR="00A021DC">
        <w:rPr>
          <w:rFonts w:ascii="Arial" w:hAnsi="Arial" w:cs="Arial"/>
          <w:color w:val="000000" w:themeColor="text1"/>
          <w:lang w:eastAsia="ru-RU"/>
        </w:rPr>
        <w:t> </w:t>
      </w:r>
      <w:r w:rsidR="00A021DC" w:rsidRPr="00A021DC">
        <w:rPr>
          <w:rFonts w:ascii="Arial" w:hAnsi="Arial" w:cs="Arial"/>
          <w:color w:val="000000" w:themeColor="text1"/>
          <w:lang w:eastAsia="ru-RU"/>
        </w:rPr>
        <w:t>518</w:t>
      </w:r>
      <w:r w:rsidR="00A021DC">
        <w:rPr>
          <w:rFonts w:ascii="Arial" w:hAnsi="Arial" w:cs="Arial"/>
          <w:color w:val="000000" w:themeColor="text1"/>
          <w:lang w:eastAsia="ru-RU"/>
        </w:rPr>
        <w:t xml:space="preserve">,6 </w:t>
      </w:r>
      <w:r w:rsidRPr="00D81869">
        <w:rPr>
          <w:rFonts w:ascii="Arial" w:hAnsi="Arial" w:cs="Arial"/>
          <w:color w:val="000000" w:themeColor="text1"/>
          <w:lang w:eastAsia="ru-RU"/>
        </w:rPr>
        <w:t xml:space="preserve">млрд рублей) главным образом </w:t>
      </w:r>
      <w:r w:rsidRPr="00E462D0">
        <w:rPr>
          <w:rFonts w:ascii="Arial" w:hAnsi="Arial" w:cs="Arial"/>
          <w:lang w:eastAsia="ru-RU"/>
        </w:rPr>
        <w:t xml:space="preserve">за счет </w:t>
      </w:r>
      <w:r w:rsidR="00D54ADB" w:rsidRPr="00E462D0">
        <w:rPr>
          <w:rFonts w:ascii="Arial" w:hAnsi="Arial" w:cs="Arial"/>
          <w:lang w:eastAsia="ru-RU"/>
        </w:rPr>
        <w:t xml:space="preserve">увеличения основных </w:t>
      </w:r>
      <w:r w:rsidR="00D54ADB" w:rsidRPr="00E462D0">
        <w:rPr>
          <w:rFonts w:ascii="Arial" w:hAnsi="Arial" w:cs="Arial"/>
          <w:lang w:eastAsia="ru-RU"/>
        </w:rPr>
        <w:lastRenderedPageBreak/>
        <w:t>средств за счет ввода новых объектов по итогам реализации инвестиционной программы</w:t>
      </w:r>
      <w:r w:rsidR="00E75A0F">
        <w:rPr>
          <w:rFonts w:ascii="Arial" w:hAnsi="Arial" w:cs="Arial"/>
          <w:lang w:eastAsia="ru-RU"/>
        </w:rPr>
        <w:t xml:space="preserve">, а также </w:t>
      </w:r>
      <w:r w:rsidR="00E75A0F" w:rsidRPr="00E75A0F">
        <w:rPr>
          <w:rFonts w:ascii="Arial" w:hAnsi="Arial" w:cs="Arial"/>
          <w:lang w:eastAsia="ru-RU"/>
        </w:rPr>
        <w:t>увеличени</w:t>
      </w:r>
      <w:r w:rsidR="00E75A0F">
        <w:rPr>
          <w:rFonts w:ascii="Arial" w:hAnsi="Arial" w:cs="Arial"/>
          <w:lang w:eastAsia="ru-RU"/>
        </w:rPr>
        <w:t>я</w:t>
      </w:r>
      <w:r w:rsidR="00E75A0F" w:rsidRPr="00E75A0F">
        <w:rPr>
          <w:rFonts w:ascii="Arial" w:hAnsi="Arial" w:cs="Arial"/>
          <w:lang w:eastAsia="ru-RU"/>
        </w:rPr>
        <w:t xml:space="preserve"> величины активов в форме права пользования (с учетом применения с 1 января 2019 года МСФО (IFRS) 16 «Аренда»)</w:t>
      </w:r>
      <w:r w:rsidRPr="00E462D0">
        <w:rPr>
          <w:rFonts w:ascii="Arial" w:hAnsi="Arial" w:cs="Arial"/>
          <w:lang w:eastAsia="ru-RU"/>
        </w:rPr>
        <w:t xml:space="preserve">. </w:t>
      </w:r>
    </w:p>
    <w:p w:rsidR="00E33C5C" w:rsidRDefault="00E33C5C" w:rsidP="000B3D3C">
      <w:pPr>
        <w:spacing w:line="240" w:lineRule="auto"/>
        <w:jc w:val="both"/>
        <w:rPr>
          <w:rFonts w:ascii="Arial" w:hAnsi="Arial" w:cs="Arial"/>
          <w:color w:val="000000" w:themeColor="text1"/>
          <w:lang w:eastAsia="ru-RU"/>
        </w:rPr>
      </w:pPr>
      <w:r>
        <w:rPr>
          <w:rFonts w:ascii="Arial" w:hAnsi="Arial" w:cs="Arial"/>
          <w:color w:val="000000" w:themeColor="text1"/>
          <w:lang w:eastAsia="ru-RU"/>
        </w:rPr>
        <w:t>Исполняющий обязанности заместителя</w:t>
      </w:r>
      <w:r w:rsidR="000B3D3C">
        <w:rPr>
          <w:rFonts w:ascii="Arial" w:hAnsi="Arial" w:cs="Arial"/>
          <w:color w:val="000000" w:themeColor="text1"/>
          <w:lang w:eastAsia="ru-RU"/>
        </w:rPr>
        <w:t xml:space="preserve"> Генерального директора по экономике </w:t>
      </w:r>
      <w:r>
        <w:rPr>
          <w:rFonts w:ascii="Arial" w:hAnsi="Arial" w:cs="Arial"/>
          <w:color w:val="000000" w:themeColor="text1"/>
          <w:lang w:eastAsia="ru-RU"/>
        </w:rPr>
        <w:t xml:space="preserve">и финансам </w:t>
      </w:r>
      <w:r w:rsidR="000B3D3C">
        <w:rPr>
          <w:rFonts w:ascii="Arial" w:hAnsi="Arial" w:cs="Arial"/>
          <w:color w:val="000000" w:themeColor="text1"/>
          <w:lang w:eastAsia="ru-RU"/>
        </w:rPr>
        <w:t>Павел Гребцов отметил, что Группа компаний «Россети» д</w:t>
      </w:r>
      <w:r w:rsidR="00913E7D">
        <w:rPr>
          <w:rFonts w:ascii="Arial" w:hAnsi="Arial" w:cs="Arial"/>
          <w:color w:val="000000" w:themeColor="text1"/>
          <w:lang w:eastAsia="ru-RU"/>
        </w:rPr>
        <w:t>емонстрирует тенденцию роста</w:t>
      </w:r>
      <w:r w:rsidR="000B3D3C">
        <w:rPr>
          <w:rFonts w:ascii="Arial" w:hAnsi="Arial" w:cs="Arial"/>
          <w:color w:val="000000" w:themeColor="text1"/>
          <w:lang w:eastAsia="ru-RU"/>
        </w:rPr>
        <w:t xml:space="preserve"> основных показателей прибыльности и финансовой устойчивости с учетом безусловного обеспечения надежности передачи электроэнергии, качества и доступности энергоснабжения потребителей.</w:t>
      </w:r>
    </w:p>
    <w:p w:rsidR="000B3D3C" w:rsidRDefault="000B3D3C" w:rsidP="000B3D3C">
      <w:pPr>
        <w:spacing w:line="240" w:lineRule="auto"/>
        <w:jc w:val="both"/>
        <w:rPr>
          <w:rFonts w:ascii="Arial" w:hAnsi="Arial"/>
        </w:rPr>
      </w:pPr>
      <w:r>
        <w:rPr>
          <w:rFonts w:ascii="Arial" w:hAnsi="Arial" w:cs="Arial"/>
        </w:rPr>
        <w:t>Более подробную информацию по консолидированной финансовой отчетно</w:t>
      </w:r>
      <w:r w:rsidR="00913E7D">
        <w:rPr>
          <w:rFonts w:ascii="Arial" w:hAnsi="Arial" w:cs="Arial"/>
        </w:rPr>
        <w:t>сти за период, оканчивающийся 30</w:t>
      </w:r>
      <w:r>
        <w:rPr>
          <w:rFonts w:ascii="Arial" w:hAnsi="Arial" w:cs="Arial"/>
        </w:rPr>
        <w:t xml:space="preserve"> </w:t>
      </w:r>
      <w:r w:rsidR="00913E7D">
        <w:rPr>
          <w:rFonts w:ascii="Arial" w:hAnsi="Arial" w:cs="Arial"/>
        </w:rPr>
        <w:t>июня 2019</w:t>
      </w:r>
      <w:r>
        <w:rPr>
          <w:rFonts w:ascii="Arial" w:hAnsi="Arial" w:cs="Arial"/>
        </w:rPr>
        <w:t xml:space="preserve"> года</w:t>
      </w:r>
      <w:r w:rsidR="00E176AF">
        <w:rPr>
          <w:rFonts w:ascii="Arial" w:hAnsi="Arial" w:cs="Arial"/>
        </w:rPr>
        <w:t>,</w:t>
      </w:r>
      <w:r>
        <w:rPr>
          <w:rFonts w:ascii="Arial" w:hAnsi="Arial" w:cs="Arial"/>
        </w:rPr>
        <w:t xml:space="preserve"> можно найти в </w:t>
      </w:r>
      <w:r>
        <w:rPr>
          <w:rFonts w:ascii="Arial" w:hAnsi="Arial"/>
          <w:lang w:val="en-US"/>
        </w:rPr>
        <w:t>National</w:t>
      </w:r>
      <w:r w:rsidRPr="000B3D3C">
        <w:rPr>
          <w:rFonts w:ascii="Arial" w:hAnsi="Arial"/>
        </w:rPr>
        <w:t xml:space="preserve"> </w:t>
      </w:r>
      <w:r>
        <w:rPr>
          <w:rFonts w:ascii="Arial" w:hAnsi="Arial"/>
          <w:lang w:val="en-US"/>
        </w:rPr>
        <w:t>Storage</w:t>
      </w:r>
      <w:r w:rsidRPr="000B3D3C">
        <w:rPr>
          <w:rFonts w:ascii="Arial" w:hAnsi="Arial"/>
        </w:rPr>
        <w:t xml:space="preserve"> </w:t>
      </w:r>
      <w:r>
        <w:rPr>
          <w:rFonts w:ascii="Arial" w:hAnsi="Arial"/>
          <w:lang w:val="en-US"/>
        </w:rPr>
        <w:t>Mechanism</w:t>
      </w:r>
      <w:r w:rsidRPr="000B3D3C">
        <w:rPr>
          <w:rFonts w:ascii="Arial" w:hAnsi="Arial"/>
        </w:rPr>
        <w:t xml:space="preserve"> </w:t>
      </w:r>
      <w:r>
        <w:rPr>
          <w:rFonts w:ascii="Arial" w:hAnsi="Arial"/>
          <w:lang w:val="en-US"/>
        </w:rPr>
        <w:t>at</w:t>
      </w:r>
      <w:r>
        <w:rPr>
          <w:rFonts w:ascii="Arial" w:hAnsi="Arial"/>
        </w:rPr>
        <w:t xml:space="preserve">: </w:t>
      </w:r>
      <w:hyperlink r:id="rId9" w:history="1">
        <w:r>
          <w:rPr>
            <w:rStyle w:val="af6"/>
            <w:rFonts w:ascii="Arial" w:hAnsi="Arial"/>
            <w:lang w:val="en-US"/>
          </w:rPr>
          <w:t>http</w:t>
        </w:r>
        <w:r>
          <w:rPr>
            <w:rStyle w:val="af6"/>
            <w:rFonts w:ascii="Arial" w:hAnsi="Arial"/>
          </w:rPr>
          <w:t>://</w:t>
        </w:r>
        <w:r>
          <w:rPr>
            <w:rStyle w:val="af6"/>
            <w:rFonts w:ascii="Arial" w:hAnsi="Arial"/>
            <w:lang w:val="en-US"/>
          </w:rPr>
          <w:t>www</w:t>
        </w:r>
        <w:r>
          <w:rPr>
            <w:rStyle w:val="af6"/>
            <w:rFonts w:ascii="Arial" w:hAnsi="Arial"/>
          </w:rPr>
          <w:t>.</w:t>
        </w:r>
        <w:r>
          <w:rPr>
            <w:rStyle w:val="af6"/>
            <w:rFonts w:ascii="Arial" w:hAnsi="Arial"/>
            <w:lang w:val="en-US"/>
          </w:rPr>
          <w:t>morningstar</w:t>
        </w:r>
        <w:r>
          <w:rPr>
            <w:rStyle w:val="af6"/>
            <w:rFonts w:ascii="Arial" w:hAnsi="Arial"/>
          </w:rPr>
          <w:t>.</w:t>
        </w:r>
        <w:r>
          <w:rPr>
            <w:rStyle w:val="af6"/>
            <w:rFonts w:ascii="Arial" w:hAnsi="Arial"/>
            <w:lang w:val="en-US"/>
          </w:rPr>
          <w:t>co</w:t>
        </w:r>
        <w:r>
          <w:rPr>
            <w:rStyle w:val="af6"/>
            <w:rFonts w:ascii="Arial" w:hAnsi="Arial"/>
          </w:rPr>
          <w:t>.</w:t>
        </w:r>
        <w:r>
          <w:rPr>
            <w:rStyle w:val="af6"/>
            <w:rFonts w:ascii="Arial" w:hAnsi="Arial"/>
            <w:lang w:val="en-US"/>
          </w:rPr>
          <w:t>uk</w:t>
        </w:r>
        <w:r>
          <w:rPr>
            <w:rStyle w:val="af6"/>
            <w:rFonts w:ascii="Arial" w:hAnsi="Arial"/>
          </w:rPr>
          <w:t>/</w:t>
        </w:r>
        <w:r>
          <w:rPr>
            <w:rStyle w:val="af6"/>
            <w:rFonts w:ascii="Arial" w:hAnsi="Arial"/>
            <w:lang w:val="en-US"/>
          </w:rPr>
          <w:t>uk</w:t>
        </w:r>
        <w:r>
          <w:rPr>
            <w:rStyle w:val="af6"/>
            <w:rFonts w:ascii="Arial" w:hAnsi="Arial"/>
          </w:rPr>
          <w:t>/</w:t>
        </w:r>
        <w:r>
          <w:rPr>
            <w:rStyle w:val="af6"/>
            <w:rFonts w:ascii="Arial" w:hAnsi="Arial"/>
            <w:lang w:val="en-US"/>
          </w:rPr>
          <w:t>NSM</w:t>
        </w:r>
      </w:hyperlink>
      <w:r>
        <w:rPr>
          <w:rFonts w:ascii="Arial" w:hAnsi="Arial"/>
        </w:rPr>
        <w:t xml:space="preserve"> или на сайте компании  </w:t>
      </w:r>
      <w:hyperlink r:id="rId10" w:history="1">
        <w:r>
          <w:rPr>
            <w:rStyle w:val="af6"/>
            <w:rFonts w:ascii="Arial" w:hAnsi="Arial"/>
            <w:lang w:val="en-US"/>
          </w:rPr>
          <w:t>http</w:t>
        </w:r>
        <w:r>
          <w:rPr>
            <w:rStyle w:val="af6"/>
            <w:rFonts w:ascii="Arial" w:hAnsi="Arial"/>
          </w:rPr>
          <w:t>://</w:t>
        </w:r>
        <w:r>
          <w:rPr>
            <w:rStyle w:val="af6"/>
            <w:rFonts w:ascii="Arial" w:hAnsi="Arial"/>
            <w:lang w:val="en-US"/>
          </w:rPr>
          <w:t>www</w:t>
        </w:r>
        <w:r>
          <w:rPr>
            <w:rStyle w:val="af6"/>
            <w:rFonts w:ascii="Arial" w:hAnsi="Arial"/>
          </w:rPr>
          <w:t>.</w:t>
        </w:r>
        <w:r>
          <w:rPr>
            <w:rStyle w:val="af6"/>
            <w:rFonts w:ascii="Arial" w:hAnsi="Arial"/>
            <w:lang w:val="en-US"/>
          </w:rPr>
          <w:t>rosseti</w:t>
        </w:r>
        <w:r>
          <w:rPr>
            <w:rStyle w:val="af6"/>
            <w:rFonts w:ascii="Arial" w:hAnsi="Arial"/>
          </w:rPr>
          <w:t>.</w:t>
        </w:r>
        <w:r>
          <w:rPr>
            <w:rStyle w:val="af6"/>
            <w:rFonts w:ascii="Arial" w:hAnsi="Arial"/>
            <w:lang w:val="en-US"/>
          </w:rPr>
          <w:t>ru</w:t>
        </w:r>
        <w:r>
          <w:rPr>
            <w:rStyle w:val="af6"/>
            <w:rFonts w:ascii="Arial" w:hAnsi="Arial"/>
          </w:rPr>
          <w:t>/</w:t>
        </w:r>
      </w:hyperlink>
      <w:r>
        <w:rPr>
          <w:rFonts w:ascii="Arial" w:hAnsi="Arial"/>
        </w:rPr>
        <w:t xml:space="preserve"> </w:t>
      </w:r>
    </w:p>
    <w:p w:rsidR="00535E5E" w:rsidRDefault="00535E5E" w:rsidP="00535E5E">
      <w:pPr>
        <w:pStyle w:val="NormalWeb"/>
        <w:spacing w:after="240"/>
        <w:jc w:val="center"/>
        <w:rPr>
          <w:rFonts w:ascii="Arial" w:hAnsi="Arial" w:cs="Arial"/>
          <w:color w:val="auto"/>
          <w:sz w:val="22"/>
          <w:szCs w:val="22"/>
          <w:lang w:val="ru-RU"/>
        </w:rPr>
      </w:pPr>
      <w:r w:rsidRPr="00A87EF4">
        <w:rPr>
          <w:rFonts w:ascii="Arial" w:hAnsi="Arial" w:cs="Arial"/>
          <w:color w:val="auto"/>
          <w:sz w:val="22"/>
          <w:szCs w:val="22"/>
          <w:lang w:val="ru-RU"/>
        </w:rPr>
        <w:t>*  *  *</w:t>
      </w:r>
    </w:p>
    <w:p w:rsidR="0020006D" w:rsidRDefault="0020006D" w:rsidP="0020006D">
      <w:pPr>
        <w:pStyle w:val="NormalWeb"/>
        <w:rPr>
          <w:rFonts w:ascii="Arial" w:hAnsi="Arial" w:cs="Arial"/>
          <w:color w:val="000000" w:themeColor="text1"/>
          <w:sz w:val="22"/>
          <w:szCs w:val="22"/>
          <w:lang w:val="ru-RU" w:eastAsia="ru-RU"/>
        </w:rPr>
      </w:pPr>
      <w:r>
        <w:rPr>
          <w:rFonts w:ascii="Arial" w:hAnsi="Arial" w:cs="Arial"/>
          <w:color w:val="000000" w:themeColor="text1"/>
          <w:sz w:val="22"/>
          <w:szCs w:val="22"/>
          <w:lang w:val="ru-RU" w:eastAsia="ru-RU"/>
        </w:rPr>
        <w:t xml:space="preserve">Для более подробной информации:            </w:t>
      </w:r>
    </w:p>
    <w:p w:rsidR="0020006D" w:rsidRDefault="0020006D" w:rsidP="0020006D">
      <w:pPr>
        <w:pStyle w:val="NormalWeb"/>
        <w:spacing w:before="0" w:beforeAutospacing="0" w:after="0" w:afterAutospacing="0"/>
        <w:rPr>
          <w:rFonts w:ascii="Arial" w:hAnsi="Arial" w:cs="Arial"/>
          <w:b/>
          <w:color w:val="000000" w:themeColor="text1"/>
          <w:sz w:val="22"/>
          <w:szCs w:val="22"/>
          <w:lang w:val="ru-RU" w:eastAsia="ru-RU"/>
        </w:rPr>
      </w:pPr>
      <w:r>
        <w:rPr>
          <w:rFonts w:ascii="Arial" w:hAnsi="Arial" w:cs="Arial"/>
          <w:b/>
          <w:color w:val="000000" w:themeColor="text1"/>
          <w:sz w:val="22"/>
          <w:szCs w:val="22"/>
          <w:lang w:val="ru-RU" w:eastAsia="ru-RU"/>
        </w:rPr>
        <w:t>ПАО «Россети»</w:t>
      </w:r>
    </w:p>
    <w:p w:rsidR="0020006D" w:rsidRDefault="0020006D" w:rsidP="0020006D">
      <w:pPr>
        <w:pStyle w:val="NormalWeb"/>
        <w:spacing w:before="0" w:beforeAutospacing="0" w:after="0" w:afterAutospacing="0"/>
        <w:rPr>
          <w:rFonts w:ascii="Arial" w:hAnsi="Arial" w:cs="Arial"/>
          <w:color w:val="000000" w:themeColor="text1"/>
          <w:sz w:val="22"/>
          <w:szCs w:val="22"/>
          <w:lang w:val="ru-RU" w:eastAsia="ru-RU"/>
        </w:rPr>
      </w:pPr>
      <w:r>
        <w:rPr>
          <w:rFonts w:ascii="Arial" w:hAnsi="Arial" w:cs="Arial"/>
          <w:color w:val="000000" w:themeColor="text1"/>
          <w:sz w:val="22"/>
          <w:szCs w:val="22"/>
          <w:lang w:val="ru-RU" w:eastAsia="ru-RU"/>
        </w:rPr>
        <w:t>Мария Степанова                                                                        +7(495) 995 5333 (</w:t>
      </w:r>
      <w:proofErr w:type="spellStart"/>
      <w:r>
        <w:rPr>
          <w:rFonts w:ascii="Arial" w:hAnsi="Arial" w:cs="Arial"/>
          <w:color w:val="000000" w:themeColor="text1"/>
          <w:sz w:val="22"/>
          <w:szCs w:val="22"/>
          <w:lang w:val="ru-RU" w:eastAsia="ru-RU"/>
        </w:rPr>
        <w:t>ext</w:t>
      </w:r>
      <w:proofErr w:type="spellEnd"/>
      <w:r>
        <w:rPr>
          <w:rFonts w:ascii="Arial" w:hAnsi="Arial" w:cs="Arial"/>
          <w:color w:val="000000" w:themeColor="text1"/>
          <w:sz w:val="22"/>
          <w:szCs w:val="22"/>
          <w:lang w:val="ru-RU" w:eastAsia="ru-RU"/>
        </w:rPr>
        <w:t>. 3961)</w:t>
      </w:r>
    </w:p>
    <w:p w:rsidR="0020006D" w:rsidRDefault="0020006D" w:rsidP="0020006D">
      <w:pPr>
        <w:pStyle w:val="NormalWeb"/>
        <w:spacing w:before="0" w:beforeAutospacing="0" w:after="0" w:afterAutospacing="0"/>
        <w:rPr>
          <w:rFonts w:ascii="Arial" w:hAnsi="Arial" w:cs="Arial"/>
          <w:color w:val="000000" w:themeColor="text1"/>
          <w:sz w:val="22"/>
          <w:szCs w:val="22"/>
          <w:lang w:val="ru-RU" w:eastAsia="ru-RU"/>
        </w:rPr>
      </w:pPr>
      <w:r>
        <w:rPr>
          <w:rFonts w:ascii="Arial" w:hAnsi="Arial" w:cs="Arial"/>
          <w:color w:val="000000" w:themeColor="text1"/>
          <w:sz w:val="22"/>
          <w:szCs w:val="22"/>
          <w:lang w:val="ru-RU" w:eastAsia="ru-RU"/>
        </w:rPr>
        <w:t>Юлия Мартынова                                                                        +7(495) 995 5333 (</w:t>
      </w:r>
      <w:proofErr w:type="spellStart"/>
      <w:r>
        <w:rPr>
          <w:rFonts w:ascii="Arial" w:hAnsi="Arial" w:cs="Arial"/>
          <w:color w:val="000000" w:themeColor="text1"/>
          <w:sz w:val="22"/>
          <w:szCs w:val="22"/>
          <w:lang w:val="ru-RU" w:eastAsia="ru-RU"/>
        </w:rPr>
        <w:t>ext</w:t>
      </w:r>
      <w:proofErr w:type="spellEnd"/>
      <w:r>
        <w:rPr>
          <w:rFonts w:ascii="Arial" w:hAnsi="Arial" w:cs="Arial"/>
          <w:color w:val="000000" w:themeColor="text1"/>
          <w:sz w:val="22"/>
          <w:szCs w:val="22"/>
          <w:lang w:val="ru-RU" w:eastAsia="ru-RU"/>
        </w:rPr>
        <w:t>. 3834)</w:t>
      </w:r>
    </w:p>
    <w:p w:rsidR="0020006D" w:rsidRDefault="0020006D" w:rsidP="0020006D">
      <w:pPr>
        <w:pStyle w:val="NormalWeb"/>
        <w:spacing w:before="0" w:beforeAutospacing="0" w:after="0" w:afterAutospacing="0"/>
        <w:rPr>
          <w:rFonts w:ascii="Arial" w:hAnsi="Arial" w:cs="Arial"/>
          <w:color w:val="000000" w:themeColor="text1"/>
          <w:sz w:val="22"/>
          <w:szCs w:val="22"/>
          <w:lang w:val="ru-RU" w:eastAsia="ru-RU"/>
        </w:rPr>
      </w:pPr>
      <w:r>
        <w:rPr>
          <w:rFonts w:ascii="Arial" w:hAnsi="Arial" w:cs="Arial"/>
          <w:color w:val="000000" w:themeColor="text1"/>
          <w:sz w:val="22"/>
          <w:szCs w:val="22"/>
          <w:lang w:val="ru-RU" w:eastAsia="ru-RU"/>
        </w:rPr>
        <w:t xml:space="preserve"> </w:t>
      </w:r>
    </w:p>
    <w:p w:rsidR="0020006D" w:rsidRDefault="0020006D" w:rsidP="0020006D">
      <w:pPr>
        <w:pStyle w:val="NormalWeb"/>
        <w:spacing w:before="0" w:beforeAutospacing="0" w:after="0" w:afterAutospacing="0"/>
        <w:rPr>
          <w:rFonts w:ascii="Arial" w:hAnsi="Arial" w:cs="Arial"/>
          <w:b/>
          <w:color w:val="000000" w:themeColor="text1"/>
          <w:sz w:val="22"/>
          <w:szCs w:val="22"/>
          <w:lang w:val="ru-RU" w:eastAsia="ru-RU"/>
        </w:rPr>
      </w:pPr>
      <w:r>
        <w:rPr>
          <w:rFonts w:ascii="Arial" w:hAnsi="Arial" w:cs="Arial"/>
          <w:b/>
          <w:color w:val="000000" w:themeColor="text1"/>
          <w:sz w:val="22"/>
          <w:szCs w:val="22"/>
          <w:lang w:val="ru-RU" w:eastAsia="ru-RU"/>
        </w:rPr>
        <w:t>Горизонт</w:t>
      </w:r>
    </w:p>
    <w:p w:rsidR="0020006D" w:rsidRDefault="0020006D" w:rsidP="0020006D">
      <w:pPr>
        <w:pStyle w:val="NormalWeb"/>
        <w:spacing w:before="0" w:beforeAutospacing="0" w:after="0" w:afterAutospacing="0"/>
        <w:rPr>
          <w:rFonts w:ascii="Arial" w:hAnsi="Arial" w:cs="Arial"/>
          <w:color w:val="000000" w:themeColor="text1"/>
          <w:sz w:val="22"/>
          <w:szCs w:val="22"/>
          <w:lang w:val="ru-RU" w:eastAsia="ru-RU"/>
        </w:rPr>
      </w:pPr>
      <w:r>
        <w:rPr>
          <w:rFonts w:ascii="Arial" w:hAnsi="Arial" w:cs="Arial"/>
          <w:color w:val="000000" w:themeColor="text1"/>
          <w:sz w:val="22"/>
          <w:szCs w:val="22"/>
          <w:lang w:val="ru-RU" w:eastAsia="ru-RU"/>
        </w:rPr>
        <w:t>Мария Новокрещенова                                                                                  +7 (495) 225 0335</w:t>
      </w:r>
    </w:p>
    <w:p w:rsidR="0020006D" w:rsidRDefault="0020006D" w:rsidP="0020006D">
      <w:pPr>
        <w:pStyle w:val="NormalWeb"/>
        <w:spacing w:before="0" w:beforeAutospacing="0" w:after="0" w:afterAutospacing="0"/>
        <w:rPr>
          <w:rFonts w:ascii="Arial" w:hAnsi="Arial" w:cs="Arial"/>
          <w:color w:val="000000" w:themeColor="text1"/>
          <w:sz w:val="22"/>
          <w:szCs w:val="22"/>
          <w:lang w:val="ru-RU" w:eastAsia="ru-RU"/>
        </w:rPr>
      </w:pPr>
      <w:r>
        <w:rPr>
          <w:rFonts w:ascii="Arial" w:hAnsi="Arial" w:cs="Arial"/>
          <w:color w:val="000000" w:themeColor="text1"/>
          <w:sz w:val="22"/>
          <w:szCs w:val="22"/>
          <w:lang w:val="ru-RU" w:eastAsia="ru-RU"/>
        </w:rPr>
        <w:t>Ярослав Грязнов                                                                          +7 (495) 225 0335 (</w:t>
      </w:r>
      <w:proofErr w:type="spellStart"/>
      <w:r>
        <w:rPr>
          <w:rFonts w:ascii="Arial" w:hAnsi="Arial" w:cs="Arial"/>
          <w:color w:val="000000" w:themeColor="text1"/>
          <w:sz w:val="22"/>
          <w:szCs w:val="22"/>
          <w:lang w:val="ru-RU" w:eastAsia="ru-RU"/>
        </w:rPr>
        <w:t>ext</w:t>
      </w:r>
      <w:proofErr w:type="spellEnd"/>
      <w:r>
        <w:rPr>
          <w:rFonts w:ascii="Arial" w:hAnsi="Arial" w:cs="Arial"/>
          <w:color w:val="000000" w:themeColor="text1"/>
          <w:sz w:val="22"/>
          <w:szCs w:val="22"/>
          <w:lang w:val="ru-RU" w:eastAsia="ru-RU"/>
        </w:rPr>
        <w:t>. 1010)</w:t>
      </w:r>
    </w:p>
    <w:p w:rsidR="0020006D" w:rsidRPr="0020006D" w:rsidRDefault="0020006D" w:rsidP="0020006D">
      <w:pPr>
        <w:pStyle w:val="NormalWeb"/>
        <w:spacing w:before="0" w:beforeAutospacing="0" w:after="0" w:afterAutospacing="0"/>
        <w:rPr>
          <w:rFonts w:ascii="Arial" w:hAnsi="Arial" w:cs="Arial"/>
          <w:color w:val="000000" w:themeColor="text1"/>
          <w:sz w:val="22"/>
          <w:szCs w:val="22"/>
          <w:lang w:val="ru-RU" w:eastAsia="ru-RU"/>
        </w:rPr>
      </w:pPr>
    </w:p>
    <w:p w:rsidR="00E957F3" w:rsidRPr="00E56C4D" w:rsidRDefault="00E957F3" w:rsidP="00E957F3">
      <w:pPr>
        <w:spacing w:line="360" w:lineRule="auto"/>
        <w:jc w:val="both"/>
        <w:rPr>
          <w:rFonts w:ascii="Arial" w:hAnsi="Arial" w:cs="Arial"/>
          <w:i/>
          <w:iCs/>
        </w:rPr>
      </w:pPr>
      <w:r w:rsidRPr="00E56C4D">
        <w:rPr>
          <w:rFonts w:ascii="Arial" w:hAnsi="Arial" w:cs="Arial"/>
          <w:b/>
          <w:i/>
          <w:iCs/>
        </w:rPr>
        <w:t>Публичное акционерное общество «Россети» (ПАО «Россети»)</w:t>
      </w:r>
      <w:r w:rsidRPr="00E56C4D">
        <w:rPr>
          <w:rFonts w:ascii="Arial" w:hAnsi="Arial" w:cs="Arial"/>
          <w:i/>
          <w:iCs/>
        </w:rPr>
        <w:t xml:space="preserve"> – является одной из </w:t>
      </w:r>
      <w:r w:rsidRPr="000B6C3D">
        <w:rPr>
          <w:rFonts w:ascii="Arial" w:hAnsi="Arial" w:cs="Arial"/>
          <w:i/>
          <w:iCs/>
        </w:rPr>
        <w:t>крупнейших электросетевых компаний в мире. Компания управляет 2,3</w:t>
      </w:r>
      <w:r w:rsidR="000B6C3D" w:rsidRPr="000B6C3D">
        <w:rPr>
          <w:rFonts w:ascii="Arial" w:hAnsi="Arial" w:cs="Arial"/>
          <w:i/>
          <w:iCs/>
        </w:rPr>
        <w:t>5</w:t>
      </w:r>
      <w:r w:rsidRPr="000B6C3D">
        <w:rPr>
          <w:rFonts w:ascii="Arial" w:hAnsi="Arial" w:cs="Arial"/>
          <w:i/>
          <w:iCs/>
        </w:rPr>
        <w:t xml:space="preserve"> млн км линий электропередачи, 50</w:t>
      </w:r>
      <w:r w:rsidR="005C7716" w:rsidRPr="000B6C3D">
        <w:rPr>
          <w:rFonts w:ascii="Arial" w:hAnsi="Arial" w:cs="Arial"/>
          <w:i/>
          <w:iCs/>
        </w:rPr>
        <w:t>7</w:t>
      </w:r>
      <w:r w:rsidRPr="000B6C3D">
        <w:rPr>
          <w:rFonts w:ascii="Arial" w:hAnsi="Arial" w:cs="Arial"/>
          <w:i/>
          <w:iCs/>
        </w:rPr>
        <w:t xml:space="preserve"> тыс. подстанций трансформаторной мощностью более 7</w:t>
      </w:r>
      <w:r w:rsidR="000B6C3D" w:rsidRPr="000B6C3D">
        <w:rPr>
          <w:rFonts w:ascii="Arial" w:hAnsi="Arial" w:cs="Arial"/>
          <w:i/>
          <w:iCs/>
        </w:rPr>
        <w:t>92</w:t>
      </w:r>
      <w:r w:rsidRPr="000B6C3D">
        <w:rPr>
          <w:rFonts w:ascii="Arial" w:hAnsi="Arial" w:cs="Arial"/>
          <w:i/>
          <w:iCs/>
        </w:rPr>
        <w:t xml:space="preserve"> ГВА.  </w:t>
      </w:r>
    </w:p>
    <w:p w:rsidR="00E957F3" w:rsidRPr="00E56C4D" w:rsidRDefault="00E957F3" w:rsidP="00E957F3">
      <w:pPr>
        <w:spacing w:line="360" w:lineRule="auto"/>
        <w:jc w:val="both"/>
        <w:rPr>
          <w:rFonts w:ascii="Arial" w:hAnsi="Arial" w:cs="Arial"/>
          <w:i/>
          <w:sz w:val="18"/>
          <w:szCs w:val="18"/>
        </w:rPr>
      </w:pPr>
      <w:r w:rsidRPr="00E56C4D">
        <w:rPr>
          <w:rFonts w:ascii="Arial" w:hAnsi="Arial" w:cs="Arial"/>
          <w:i/>
          <w:iCs/>
        </w:rPr>
        <w:t>Имущественный комплекс ПАО «Россети» включает в себя 3</w:t>
      </w:r>
      <w:r w:rsidR="00A021DC">
        <w:rPr>
          <w:rFonts w:ascii="Arial" w:hAnsi="Arial" w:cs="Arial"/>
          <w:i/>
          <w:iCs/>
        </w:rPr>
        <w:t>4</w:t>
      </w:r>
      <w:r w:rsidRPr="00E56C4D">
        <w:rPr>
          <w:rFonts w:ascii="Arial" w:hAnsi="Arial" w:cs="Arial"/>
          <w:i/>
          <w:iCs/>
        </w:rPr>
        <w:t xml:space="preserve"> дочерних и зависимых общества, в том числе 1</w:t>
      </w:r>
      <w:r w:rsidR="00A021DC">
        <w:rPr>
          <w:rFonts w:ascii="Arial" w:hAnsi="Arial" w:cs="Arial"/>
          <w:i/>
          <w:iCs/>
        </w:rPr>
        <w:t>5</w:t>
      </w:r>
      <w:r w:rsidRPr="00E56C4D">
        <w:rPr>
          <w:rFonts w:ascii="Arial" w:hAnsi="Arial" w:cs="Arial"/>
          <w:i/>
          <w:iCs/>
        </w:rPr>
        <w:t xml:space="preserve"> межрегиональных и магистральную сетевую компанию. Контролирующим акционером является государство в лице Федерального агентства по управлению государственн</w:t>
      </w:r>
      <w:r>
        <w:rPr>
          <w:rFonts w:ascii="Arial" w:hAnsi="Arial" w:cs="Arial"/>
          <w:i/>
          <w:iCs/>
        </w:rPr>
        <w:t>ым имуществом РФ, владеющее 88,04</w:t>
      </w:r>
      <w:r w:rsidRPr="00E56C4D">
        <w:rPr>
          <w:rFonts w:ascii="Arial" w:hAnsi="Arial" w:cs="Arial"/>
          <w:i/>
          <w:iCs/>
        </w:rPr>
        <w:t xml:space="preserve"> % долей в уставном капитале.</w:t>
      </w:r>
    </w:p>
    <w:p w:rsidR="00E957F3" w:rsidRPr="00E56C4D" w:rsidRDefault="00E957F3" w:rsidP="00E957F3">
      <w:pPr>
        <w:spacing w:line="360" w:lineRule="auto"/>
        <w:jc w:val="both"/>
        <w:rPr>
          <w:rFonts w:ascii="Arial" w:hAnsi="Arial" w:cs="Arial"/>
          <w:i/>
          <w:sz w:val="18"/>
          <w:szCs w:val="18"/>
        </w:rPr>
      </w:pPr>
      <w:r w:rsidRPr="00E56C4D">
        <w:rPr>
          <w:rFonts w:ascii="Arial" w:hAnsi="Arial" w:cs="Arial"/>
          <w:i/>
          <w:sz w:val="18"/>
          <w:szCs w:val="18"/>
        </w:rPr>
        <w:t>Материалы, представленные в пресс-релизе, могут содержать прогнозы или другие перспективные оценки будущих событий или показателей будущей финансовой деятельности ПАО «Россети». Такие термины, как «мы ожидаем», «мы полагаем», «мы оцениваем», «мы намереваемся», «мы будем», «мы могли бы», «возможно», «может быть» и аналогичные или выражения указывают на то, что речь идет о прогнозных оценках. ПАО «Россети» предупреждает, что эти заявления являются не более, чем прогнозами, при этом фактические события или результаты могут существенно отличаться от них. ПАО «Россети» не будет корректировать эти заявления с учетом событий и обстоятельств, возникающих после даты опубликования настоящего документа. К факторам, которые могут привести к изменению результатов, содержащихся в прогнозах и перспективных оценках ПАО «Россети», могут относиться, помимо прочего, общеэкономические условия, конкурентная среда, риски ведения деятельности на российском рынке, быстрые технологические и рыночные изменения в отрасли, а также многочисленные иные факторы риска, влияющие на ПАО «Россети» и ее деятельность.</w:t>
      </w:r>
    </w:p>
    <w:sectPr w:rsidR="00E957F3" w:rsidRPr="00E56C4D" w:rsidSect="00EE356A">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DF5" w:rsidRDefault="00CF5DF5" w:rsidP="00C83024">
      <w:pPr>
        <w:spacing w:after="0" w:line="240" w:lineRule="auto"/>
      </w:pPr>
      <w:r>
        <w:separator/>
      </w:r>
    </w:p>
  </w:endnote>
  <w:endnote w:type="continuationSeparator" w:id="0">
    <w:p w:rsidR="00CF5DF5" w:rsidRDefault="00CF5DF5" w:rsidP="00C8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919367"/>
      <w:docPartObj>
        <w:docPartGallery w:val="Page Numbers (Bottom of Page)"/>
        <w:docPartUnique/>
      </w:docPartObj>
    </w:sdtPr>
    <w:sdtEndPr/>
    <w:sdtContent>
      <w:p w:rsidR="00FB54E5" w:rsidRDefault="00FB54E5">
        <w:pPr>
          <w:pStyle w:val="a5"/>
          <w:jc w:val="right"/>
        </w:pPr>
        <w:r>
          <w:fldChar w:fldCharType="begin"/>
        </w:r>
        <w:r>
          <w:instrText>PAGE   \* MERGEFORMAT</w:instrText>
        </w:r>
        <w:r>
          <w:fldChar w:fldCharType="separate"/>
        </w:r>
        <w:r w:rsidR="00740DEF">
          <w:rPr>
            <w:noProof/>
          </w:rPr>
          <w:t>2</w:t>
        </w:r>
        <w:r>
          <w:fldChar w:fldCharType="end"/>
        </w:r>
      </w:p>
    </w:sdtContent>
  </w:sdt>
  <w:p w:rsidR="00FB54E5" w:rsidRDefault="00FB54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DF5" w:rsidRDefault="00CF5DF5" w:rsidP="00C83024">
      <w:pPr>
        <w:spacing w:after="0" w:line="240" w:lineRule="auto"/>
      </w:pPr>
      <w:r>
        <w:separator/>
      </w:r>
    </w:p>
  </w:footnote>
  <w:footnote w:type="continuationSeparator" w:id="0">
    <w:p w:rsidR="00CF5DF5" w:rsidRDefault="00CF5DF5" w:rsidP="00C83024">
      <w:pPr>
        <w:spacing w:after="0" w:line="240" w:lineRule="auto"/>
      </w:pPr>
      <w:r>
        <w:continuationSeparator/>
      </w:r>
    </w:p>
  </w:footnote>
  <w:footnote w:id="1">
    <w:p w:rsidR="00E33C5C" w:rsidRDefault="00E33C5C">
      <w:pPr>
        <w:pStyle w:val="ab"/>
      </w:pPr>
      <w:r w:rsidRPr="00E33C5C">
        <w:rPr>
          <w:rStyle w:val="ad"/>
          <w:rFonts w:ascii="Arial Narrow" w:hAnsi="Arial Narrow"/>
        </w:rPr>
        <w:footnoteRef/>
      </w:r>
      <w:r w:rsidRPr="00E33C5C">
        <w:rPr>
          <w:rFonts w:ascii="Arial Narrow" w:hAnsi="Arial Narrow"/>
        </w:rPr>
        <w:t xml:space="preserve"> Источник: отчетность по МСФО группы компаний «Россети» за 6 месяцев 2019 года.</w:t>
      </w:r>
    </w:p>
  </w:footnote>
  <w:footnote w:id="2">
    <w:p w:rsidR="009E3DF7" w:rsidRPr="008C3756" w:rsidRDefault="009E3DF7" w:rsidP="009E3DF7">
      <w:pPr>
        <w:pStyle w:val="ab"/>
        <w:rPr>
          <w:rFonts w:ascii="Arial Narrow" w:hAnsi="Arial Narrow"/>
        </w:rPr>
      </w:pPr>
      <w:r w:rsidRPr="008C3756">
        <w:rPr>
          <w:rStyle w:val="ad"/>
          <w:rFonts w:ascii="Arial Narrow" w:hAnsi="Arial Narrow"/>
        </w:rPr>
        <w:footnoteRef/>
      </w:r>
      <w:r w:rsidRPr="008C3756">
        <w:rPr>
          <w:rFonts w:ascii="Arial Narrow" w:hAnsi="Arial Narrow"/>
        </w:rPr>
        <w:t xml:space="preserve"> Источник: отчетность по МСФО группы компаний «Россети»</w:t>
      </w:r>
      <w:r w:rsidR="00E33C5C">
        <w:rPr>
          <w:rFonts w:ascii="Arial Narrow" w:hAnsi="Arial Narrow"/>
        </w:rPr>
        <w:t xml:space="preserve"> за 6 месяцев 2019 года.</w:t>
      </w:r>
    </w:p>
  </w:footnote>
  <w:footnote w:id="3">
    <w:p w:rsidR="009E3DF7" w:rsidRPr="008C3756" w:rsidRDefault="009E3DF7" w:rsidP="009E3DF7">
      <w:pPr>
        <w:pStyle w:val="ab"/>
        <w:rPr>
          <w:rFonts w:ascii="Arial Narrow" w:hAnsi="Arial Narrow" w:cs="Arial"/>
        </w:rPr>
      </w:pPr>
      <w:r w:rsidRPr="008C3756">
        <w:rPr>
          <w:rStyle w:val="ad"/>
          <w:rFonts w:ascii="Arial Narrow" w:hAnsi="Arial Narrow"/>
        </w:rPr>
        <w:footnoteRef/>
      </w:r>
      <w:r w:rsidRPr="008C3756">
        <w:rPr>
          <w:rFonts w:ascii="Arial Narrow" w:hAnsi="Arial Narrow"/>
        </w:rPr>
        <w:t xml:space="preserve"> </w:t>
      </w:r>
      <w:r w:rsidRPr="00A8515B">
        <w:rPr>
          <w:rFonts w:ascii="Arial Narrow" w:hAnsi="Arial Narrow"/>
        </w:rPr>
        <w:t>Без учета обязательств по аренде</w:t>
      </w:r>
      <w:r w:rsidRPr="008C3756">
        <w:rPr>
          <w:rFonts w:ascii="Arial Narrow" w:hAnsi="Arial Narrow" w:cs="Arial"/>
        </w:rPr>
        <w:t xml:space="preserve">. </w:t>
      </w:r>
    </w:p>
  </w:footnote>
  <w:footnote w:id="4">
    <w:p w:rsidR="009E3DF7" w:rsidRDefault="009E3DF7" w:rsidP="009E3DF7">
      <w:pPr>
        <w:pStyle w:val="ab"/>
      </w:pPr>
      <w:r w:rsidRPr="008C3756">
        <w:rPr>
          <w:rStyle w:val="ad"/>
          <w:rFonts w:ascii="Arial Narrow" w:hAnsi="Arial Narrow"/>
        </w:rPr>
        <w:footnoteRef/>
      </w:r>
      <w:r w:rsidRPr="008C3756">
        <w:rPr>
          <w:rFonts w:ascii="Arial Narrow" w:hAnsi="Arial Narrow"/>
        </w:rPr>
        <w:t xml:space="preserve"> На 31.12.2018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21C2"/>
    <w:multiLevelType w:val="hybridMultilevel"/>
    <w:tmpl w:val="8E584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4F0E3B"/>
    <w:multiLevelType w:val="hybridMultilevel"/>
    <w:tmpl w:val="3E3C0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5B3322"/>
    <w:multiLevelType w:val="hybridMultilevel"/>
    <w:tmpl w:val="D9BA579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 w15:restartNumberingAfterBreak="0">
    <w:nsid w:val="3C2D5C86"/>
    <w:multiLevelType w:val="hybridMultilevel"/>
    <w:tmpl w:val="A8C4D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E719C1"/>
    <w:multiLevelType w:val="hybridMultilevel"/>
    <w:tmpl w:val="8D187C2E"/>
    <w:lvl w:ilvl="0" w:tplc="04190001">
      <w:start w:val="1"/>
      <w:numFmt w:val="bullet"/>
      <w:lvlText w:val=""/>
      <w:lvlJc w:val="left"/>
      <w:pPr>
        <w:ind w:left="935" w:hanging="360"/>
      </w:pPr>
      <w:rPr>
        <w:rFonts w:ascii="Symbol" w:hAnsi="Symbol" w:hint="default"/>
      </w:rPr>
    </w:lvl>
    <w:lvl w:ilvl="1" w:tplc="04190003" w:tentative="1">
      <w:start w:val="1"/>
      <w:numFmt w:val="bullet"/>
      <w:lvlText w:val="o"/>
      <w:lvlJc w:val="left"/>
      <w:pPr>
        <w:ind w:left="1655" w:hanging="360"/>
      </w:pPr>
      <w:rPr>
        <w:rFonts w:ascii="Courier New" w:hAnsi="Courier New" w:cs="Courier New" w:hint="default"/>
      </w:rPr>
    </w:lvl>
    <w:lvl w:ilvl="2" w:tplc="04190005" w:tentative="1">
      <w:start w:val="1"/>
      <w:numFmt w:val="bullet"/>
      <w:lvlText w:val=""/>
      <w:lvlJc w:val="left"/>
      <w:pPr>
        <w:ind w:left="2375" w:hanging="360"/>
      </w:pPr>
      <w:rPr>
        <w:rFonts w:ascii="Wingdings" w:hAnsi="Wingdings" w:hint="default"/>
      </w:rPr>
    </w:lvl>
    <w:lvl w:ilvl="3" w:tplc="04190001" w:tentative="1">
      <w:start w:val="1"/>
      <w:numFmt w:val="bullet"/>
      <w:lvlText w:val=""/>
      <w:lvlJc w:val="left"/>
      <w:pPr>
        <w:ind w:left="3095" w:hanging="360"/>
      </w:pPr>
      <w:rPr>
        <w:rFonts w:ascii="Symbol" w:hAnsi="Symbol" w:hint="default"/>
      </w:rPr>
    </w:lvl>
    <w:lvl w:ilvl="4" w:tplc="04190003" w:tentative="1">
      <w:start w:val="1"/>
      <w:numFmt w:val="bullet"/>
      <w:lvlText w:val="o"/>
      <w:lvlJc w:val="left"/>
      <w:pPr>
        <w:ind w:left="3815" w:hanging="360"/>
      </w:pPr>
      <w:rPr>
        <w:rFonts w:ascii="Courier New" w:hAnsi="Courier New" w:cs="Courier New" w:hint="default"/>
      </w:rPr>
    </w:lvl>
    <w:lvl w:ilvl="5" w:tplc="04190005" w:tentative="1">
      <w:start w:val="1"/>
      <w:numFmt w:val="bullet"/>
      <w:lvlText w:val=""/>
      <w:lvlJc w:val="left"/>
      <w:pPr>
        <w:ind w:left="4535" w:hanging="360"/>
      </w:pPr>
      <w:rPr>
        <w:rFonts w:ascii="Wingdings" w:hAnsi="Wingdings" w:hint="default"/>
      </w:rPr>
    </w:lvl>
    <w:lvl w:ilvl="6" w:tplc="04190001" w:tentative="1">
      <w:start w:val="1"/>
      <w:numFmt w:val="bullet"/>
      <w:lvlText w:val=""/>
      <w:lvlJc w:val="left"/>
      <w:pPr>
        <w:ind w:left="5255" w:hanging="360"/>
      </w:pPr>
      <w:rPr>
        <w:rFonts w:ascii="Symbol" w:hAnsi="Symbol" w:hint="default"/>
      </w:rPr>
    </w:lvl>
    <w:lvl w:ilvl="7" w:tplc="04190003" w:tentative="1">
      <w:start w:val="1"/>
      <w:numFmt w:val="bullet"/>
      <w:lvlText w:val="o"/>
      <w:lvlJc w:val="left"/>
      <w:pPr>
        <w:ind w:left="5975" w:hanging="360"/>
      </w:pPr>
      <w:rPr>
        <w:rFonts w:ascii="Courier New" w:hAnsi="Courier New" w:cs="Courier New" w:hint="default"/>
      </w:rPr>
    </w:lvl>
    <w:lvl w:ilvl="8" w:tplc="04190005" w:tentative="1">
      <w:start w:val="1"/>
      <w:numFmt w:val="bullet"/>
      <w:lvlText w:val=""/>
      <w:lvlJc w:val="left"/>
      <w:pPr>
        <w:ind w:left="6695" w:hanging="360"/>
      </w:pPr>
      <w:rPr>
        <w:rFonts w:ascii="Wingdings" w:hAnsi="Wingdings" w:hint="default"/>
      </w:rPr>
    </w:lvl>
  </w:abstractNum>
  <w:abstractNum w:abstractNumId="5" w15:restartNumberingAfterBreak="0">
    <w:nsid w:val="420C1713"/>
    <w:multiLevelType w:val="hybridMultilevel"/>
    <w:tmpl w:val="64B00B8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519B7758"/>
    <w:multiLevelType w:val="hybridMultilevel"/>
    <w:tmpl w:val="5CC2DC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6537691"/>
    <w:multiLevelType w:val="hybridMultilevel"/>
    <w:tmpl w:val="DEFAC16C"/>
    <w:lvl w:ilvl="0" w:tplc="E240325C">
      <w:start w:val="1"/>
      <w:numFmt w:val="decimal"/>
      <w:lvlText w:val="%1."/>
      <w:lvlJc w:val="left"/>
      <w:pPr>
        <w:tabs>
          <w:tab w:val="num" w:pos="720"/>
        </w:tabs>
        <w:ind w:left="720" w:hanging="360"/>
      </w:pPr>
    </w:lvl>
    <w:lvl w:ilvl="1" w:tplc="46C0A736" w:tentative="1">
      <w:start w:val="1"/>
      <w:numFmt w:val="decimal"/>
      <w:lvlText w:val="%2."/>
      <w:lvlJc w:val="left"/>
      <w:pPr>
        <w:tabs>
          <w:tab w:val="num" w:pos="1440"/>
        </w:tabs>
        <w:ind w:left="1440" w:hanging="360"/>
      </w:pPr>
    </w:lvl>
    <w:lvl w:ilvl="2" w:tplc="5B38FA5C" w:tentative="1">
      <w:start w:val="1"/>
      <w:numFmt w:val="decimal"/>
      <w:lvlText w:val="%3."/>
      <w:lvlJc w:val="left"/>
      <w:pPr>
        <w:tabs>
          <w:tab w:val="num" w:pos="2160"/>
        </w:tabs>
        <w:ind w:left="2160" w:hanging="360"/>
      </w:pPr>
    </w:lvl>
    <w:lvl w:ilvl="3" w:tplc="2D1864C2" w:tentative="1">
      <w:start w:val="1"/>
      <w:numFmt w:val="decimal"/>
      <w:lvlText w:val="%4."/>
      <w:lvlJc w:val="left"/>
      <w:pPr>
        <w:tabs>
          <w:tab w:val="num" w:pos="2880"/>
        </w:tabs>
        <w:ind w:left="2880" w:hanging="360"/>
      </w:pPr>
    </w:lvl>
    <w:lvl w:ilvl="4" w:tplc="043CCF9A" w:tentative="1">
      <w:start w:val="1"/>
      <w:numFmt w:val="decimal"/>
      <w:lvlText w:val="%5."/>
      <w:lvlJc w:val="left"/>
      <w:pPr>
        <w:tabs>
          <w:tab w:val="num" w:pos="3600"/>
        </w:tabs>
        <w:ind w:left="3600" w:hanging="360"/>
      </w:pPr>
    </w:lvl>
    <w:lvl w:ilvl="5" w:tplc="BD644762" w:tentative="1">
      <w:start w:val="1"/>
      <w:numFmt w:val="decimal"/>
      <w:lvlText w:val="%6."/>
      <w:lvlJc w:val="left"/>
      <w:pPr>
        <w:tabs>
          <w:tab w:val="num" w:pos="4320"/>
        </w:tabs>
        <w:ind w:left="4320" w:hanging="360"/>
      </w:pPr>
    </w:lvl>
    <w:lvl w:ilvl="6" w:tplc="CBB0BAE0" w:tentative="1">
      <w:start w:val="1"/>
      <w:numFmt w:val="decimal"/>
      <w:lvlText w:val="%7."/>
      <w:lvlJc w:val="left"/>
      <w:pPr>
        <w:tabs>
          <w:tab w:val="num" w:pos="5040"/>
        </w:tabs>
        <w:ind w:left="5040" w:hanging="360"/>
      </w:pPr>
    </w:lvl>
    <w:lvl w:ilvl="7" w:tplc="A4F862B6" w:tentative="1">
      <w:start w:val="1"/>
      <w:numFmt w:val="decimal"/>
      <w:lvlText w:val="%8."/>
      <w:lvlJc w:val="left"/>
      <w:pPr>
        <w:tabs>
          <w:tab w:val="num" w:pos="5760"/>
        </w:tabs>
        <w:ind w:left="5760" w:hanging="360"/>
      </w:pPr>
    </w:lvl>
    <w:lvl w:ilvl="8" w:tplc="563234EC" w:tentative="1">
      <w:start w:val="1"/>
      <w:numFmt w:val="decimal"/>
      <w:lvlText w:val="%9."/>
      <w:lvlJc w:val="left"/>
      <w:pPr>
        <w:tabs>
          <w:tab w:val="num" w:pos="6480"/>
        </w:tabs>
        <w:ind w:left="6480" w:hanging="360"/>
      </w:pPr>
    </w:lvl>
  </w:abstractNum>
  <w:abstractNum w:abstractNumId="8" w15:restartNumberingAfterBreak="0">
    <w:nsid w:val="582306B0"/>
    <w:multiLevelType w:val="hybridMultilevel"/>
    <w:tmpl w:val="6FE2C96E"/>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9" w15:restartNumberingAfterBreak="0">
    <w:nsid w:val="5B78607F"/>
    <w:multiLevelType w:val="hybridMultilevel"/>
    <w:tmpl w:val="745683D2"/>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10" w15:restartNumberingAfterBreak="0">
    <w:nsid w:val="5C57481E"/>
    <w:multiLevelType w:val="hybridMultilevel"/>
    <w:tmpl w:val="E668A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C834CD"/>
    <w:multiLevelType w:val="hybridMultilevel"/>
    <w:tmpl w:val="9FE0F7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C30315E"/>
    <w:multiLevelType w:val="hybridMultilevel"/>
    <w:tmpl w:val="3E5A5C5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15:restartNumberingAfterBreak="0">
    <w:nsid w:val="73DD4752"/>
    <w:multiLevelType w:val="hybridMultilevel"/>
    <w:tmpl w:val="A4828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9A1C46"/>
    <w:multiLevelType w:val="hybridMultilevel"/>
    <w:tmpl w:val="C0B0927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15:restartNumberingAfterBreak="0">
    <w:nsid w:val="7ECA605E"/>
    <w:multiLevelType w:val="hybridMultilevel"/>
    <w:tmpl w:val="640802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5"/>
  </w:num>
  <w:num w:numId="4">
    <w:abstractNumId w:val="7"/>
  </w:num>
  <w:num w:numId="5">
    <w:abstractNumId w:val="2"/>
  </w:num>
  <w:num w:numId="6">
    <w:abstractNumId w:val="1"/>
  </w:num>
  <w:num w:numId="7">
    <w:abstractNumId w:val="10"/>
  </w:num>
  <w:num w:numId="8">
    <w:abstractNumId w:val="12"/>
  </w:num>
  <w:num w:numId="9">
    <w:abstractNumId w:val="9"/>
  </w:num>
  <w:num w:numId="10">
    <w:abstractNumId w:val="8"/>
  </w:num>
  <w:num w:numId="11">
    <w:abstractNumId w:val="4"/>
  </w:num>
  <w:num w:numId="12">
    <w:abstractNumId w:val="11"/>
  </w:num>
  <w:num w:numId="13">
    <w:abstractNumId w:val="6"/>
  </w:num>
  <w:num w:numId="14">
    <w:abstractNumId w:val="13"/>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24"/>
    <w:rsid w:val="00002565"/>
    <w:rsid w:val="00003EA1"/>
    <w:rsid w:val="00004DC6"/>
    <w:rsid w:val="000051FF"/>
    <w:rsid w:val="000065FC"/>
    <w:rsid w:val="00006F73"/>
    <w:rsid w:val="00007F27"/>
    <w:rsid w:val="000128EC"/>
    <w:rsid w:val="00012C8A"/>
    <w:rsid w:val="00013B72"/>
    <w:rsid w:val="00013E95"/>
    <w:rsid w:val="00016EC5"/>
    <w:rsid w:val="00021F96"/>
    <w:rsid w:val="000232B1"/>
    <w:rsid w:val="00026212"/>
    <w:rsid w:val="00026238"/>
    <w:rsid w:val="000324CC"/>
    <w:rsid w:val="00032645"/>
    <w:rsid w:val="00041DF6"/>
    <w:rsid w:val="00042173"/>
    <w:rsid w:val="00043217"/>
    <w:rsid w:val="0004514A"/>
    <w:rsid w:val="00057433"/>
    <w:rsid w:val="00063664"/>
    <w:rsid w:val="00063DD1"/>
    <w:rsid w:val="00064DCD"/>
    <w:rsid w:val="00066CED"/>
    <w:rsid w:val="000677E7"/>
    <w:rsid w:val="000705B1"/>
    <w:rsid w:val="00071142"/>
    <w:rsid w:val="00074C59"/>
    <w:rsid w:val="00077C0F"/>
    <w:rsid w:val="00077F0B"/>
    <w:rsid w:val="00080802"/>
    <w:rsid w:val="00083916"/>
    <w:rsid w:val="00085AA3"/>
    <w:rsid w:val="00086AB7"/>
    <w:rsid w:val="000A5B0A"/>
    <w:rsid w:val="000B3857"/>
    <w:rsid w:val="000B3D3C"/>
    <w:rsid w:val="000B6C3D"/>
    <w:rsid w:val="000C4A6E"/>
    <w:rsid w:val="000C5961"/>
    <w:rsid w:val="000D1C1D"/>
    <w:rsid w:val="000D3A60"/>
    <w:rsid w:val="000D7138"/>
    <w:rsid w:val="000E2115"/>
    <w:rsid w:val="000E2775"/>
    <w:rsid w:val="000F2430"/>
    <w:rsid w:val="000F3CA8"/>
    <w:rsid w:val="000F3F6D"/>
    <w:rsid w:val="000F5EB3"/>
    <w:rsid w:val="000F66E0"/>
    <w:rsid w:val="000F78E2"/>
    <w:rsid w:val="0010146C"/>
    <w:rsid w:val="00111CFA"/>
    <w:rsid w:val="00113DE4"/>
    <w:rsid w:val="00113EE2"/>
    <w:rsid w:val="00116E9A"/>
    <w:rsid w:val="00120415"/>
    <w:rsid w:val="00122F99"/>
    <w:rsid w:val="001230A9"/>
    <w:rsid w:val="00123845"/>
    <w:rsid w:val="00123951"/>
    <w:rsid w:val="001254A4"/>
    <w:rsid w:val="0013091D"/>
    <w:rsid w:val="00132D91"/>
    <w:rsid w:val="00134E83"/>
    <w:rsid w:val="001353D5"/>
    <w:rsid w:val="00136089"/>
    <w:rsid w:val="00140ED6"/>
    <w:rsid w:val="00141A45"/>
    <w:rsid w:val="00143D47"/>
    <w:rsid w:val="00152EB4"/>
    <w:rsid w:val="00154AB5"/>
    <w:rsid w:val="00155FB4"/>
    <w:rsid w:val="001567EB"/>
    <w:rsid w:val="00157EE9"/>
    <w:rsid w:val="00160ED3"/>
    <w:rsid w:val="00161E3E"/>
    <w:rsid w:val="00164C46"/>
    <w:rsid w:val="00166126"/>
    <w:rsid w:val="00166CAD"/>
    <w:rsid w:val="00170F06"/>
    <w:rsid w:val="00174B28"/>
    <w:rsid w:val="00174F66"/>
    <w:rsid w:val="001756AF"/>
    <w:rsid w:val="00176A3A"/>
    <w:rsid w:val="00180662"/>
    <w:rsid w:val="0018242E"/>
    <w:rsid w:val="001824D5"/>
    <w:rsid w:val="0018785D"/>
    <w:rsid w:val="00191937"/>
    <w:rsid w:val="00192875"/>
    <w:rsid w:val="00193789"/>
    <w:rsid w:val="001976FB"/>
    <w:rsid w:val="00197E11"/>
    <w:rsid w:val="001A3A98"/>
    <w:rsid w:val="001A42D4"/>
    <w:rsid w:val="001A4ABD"/>
    <w:rsid w:val="001A7E1C"/>
    <w:rsid w:val="001B0A4E"/>
    <w:rsid w:val="001B1FC9"/>
    <w:rsid w:val="001B6F9E"/>
    <w:rsid w:val="001C190D"/>
    <w:rsid w:val="001C2E40"/>
    <w:rsid w:val="001C6128"/>
    <w:rsid w:val="001D01FE"/>
    <w:rsid w:val="001D64DE"/>
    <w:rsid w:val="001D6C43"/>
    <w:rsid w:val="001D6E67"/>
    <w:rsid w:val="001E20EA"/>
    <w:rsid w:val="001E4300"/>
    <w:rsid w:val="001E5C3D"/>
    <w:rsid w:val="001F1C02"/>
    <w:rsid w:val="001F38BD"/>
    <w:rsid w:val="001F4CF5"/>
    <w:rsid w:val="001F6A28"/>
    <w:rsid w:val="0020006D"/>
    <w:rsid w:val="00206890"/>
    <w:rsid w:val="00207EBD"/>
    <w:rsid w:val="0021739E"/>
    <w:rsid w:val="00217580"/>
    <w:rsid w:val="0022337C"/>
    <w:rsid w:val="00223D56"/>
    <w:rsid w:val="00224455"/>
    <w:rsid w:val="00224715"/>
    <w:rsid w:val="002262BF"/>
    <w:rsid w:val="0022796E"/>
    <w:rsid w:val="00232950"/>
    <w:rsid w:val="00234F1A"/>
    <w:rsid w:val="0023620C"/>
    <w:rsid w:val="00236C1F"/>
    <w:rsid w:val="0024302A"/>
    <w:rsid w:val="0025155F"/>
    <w:rsid w:val="00253CFF"/>
    <w:rsid w:val="00254A0F"/>
    <w:rsid w:val="0025585D"/>
    <w:rsid w:val="00255F4A"/>
    <w:rsid w:val="00257911"/>
    <w:rsid w:val="002704B7"/>
    <w:rsid w:val="00270D37"/>
    <w:rsid w:val="0027107D"/>
    <w:rsid w:val="00271768"/>
    <w:rsid w:val="0028375C"/>
    <w:rsid w:val="00285BD7"/>
    <w:rsid w:val="00293688"/>
    <w:rsid w:val="00293ED2"/>
    <w:rsid w:val="002941BF"/>
    <w:rsid w:val="00296737"/>
    <w:rsid w:val="002A3991"/>
    <w:rsid w:val="002A4FD8"/>
    <w:rsid w:val="002A7DC7"/>
    <w:rsid w:val="002B29EE"/>
    <w:rsid w:val="002B5345"/>
    <w:rsid w:val="002B5B18"/>
    <w:rsid w:val="002B798B"/>
    <w:rsid w:val="002C3CE5"/>
    <w:rsid w:val="002C4114"/>
    <w:rsid w:val="002C48DE"/>
    <w:rsid w:val="002C67B5"/>
    <w:rsid w:val="002C7195"/>
    <w:rsid w:val="002D2456"/>
    <w:rsid w:val="002D4087"/>
    <w:rsid w:val="002D6AB8"/>
    <w:rsid w:val="002D78C0"/>
    <w:rsid w:val="002D79AF"/>
    <w:rsid w:val="002E1A5C"/>
    <w:rsid w:val="002E7FD0"/>
    <w:rsid w:val="002F0549"/>
    <w:rsid w:val="002F3380"/>
    <w:rsid w:val="002F3749"/>
    <w:rsid w:val="002F4FED"/>
    <w:rsid w:val="002F58DE"/>
    <w:rsid w:val="002F6319"/>
    <w:rsid w:val="00300491"/>
    <w:rsid w:val="00300D4C"/>
    <w:rsid w:val="003018B2"/>
    <w:rsid w:val="00305DB0"/>
    <w:rsid w:val="00307F1E"/>
    <w:rsid w:val="00311241"/>
    <w:rsid w:val="003117D1"/>
    <w:rsid w:val="00314E2C"/>
    <w:rsid w:val="00320B66"/>
    <w:rsid w:val="00324700"/>
    <w:rsid w:val="00327A70"/>
    <w:rsid w:val="003403B5"/>
    <w:rsid w:val="003407D0"/>
    <w:rsid w:val="003410CE"/>
    <w:rsid w:val="00343A70"/>
    <w:rsid w:val="00343CA8"/>
    <w:rsid w:val="00346FE8"/>
    <w:rsid w:val="00355BAE"/>
    <w:rsid w:val="0035635C"/>
    <w:rsid w:val="00357278"/>
    <w:rsid w:val="00360D0B"/>
    <w:rsid w:val="00361DB0"/>
    <w:rsid w:val="0036221E"/>
    <w:rsid w:val="003650CE"/>
    <w:rsid w:val="00373834"/>
    <w:rsid w:val="0037773A"/>
    <w:rsid w:val="0038099B"/>
    <w:rsid w:val="00381F0B"/>
    <w:rsid w:val="00383098"/>
    <w:rsid w:val="00391DC0"/>
    <w:rsid w:val="00393BB7"/>
    <w:rsid w:val="00394462"/>
    <w:rsid w:val="003946F4"/>
    <w:rsid w:val="00394DE7"/>
    <w:rsid w:val="00397FAF"/>
    <w:rsid w:val="003A5EFF"/>
    <w:rsid w:val="003A6406"/>
    <w:rsid w:val="003A7206"/>
    <w:rsid w:val="003C14F6"/>
    <w:rsid w:val="003C30AB"/>
    <w:rsid w:val="003C3F94"/>
    <w:rsid w:val="003C61D5"/>
    <w:rsid w:val="003D216B"/>
    <w:rsid w:val="003D3199"/>
    <w:rsid w:val="003E01CC"/>
    <w:rsid w:val="003E6028"/>
    <w:rsid w:val="003E75BB"/>
    <w:rsid w:val="003F0782"/>
    <w:rsid w:val="003F0D2D"/>
    <w:rsid w:val="003F309E"/>
    <w:rsid w:val="003F30BE"/>
    <w:rsid w:val="003F3901"/>
    <w:rsid w:val="003F48F1"/>
    <w:rsid w:val="003F5980"/>
    <w:rsid w:val="003F7567"/>
    <w:rsid w:val="0040198C"/>
    <w:rsid w:val="004030C3"/>
    <w:rsid w:val="00404B4E"/>
    <w:rsid w:val="00405863"/>
    <w:rsid w:val="004114E9"/>
    <w:rsid w:val="004127F4"/>
    <w:rsid w:val="0041567B"/>
    <w:rsid w:val="004158FE"/>
    <w:rsid w:val="00415AEF"/>
    <w:rsid w:val="004163AA"/>
    <w:rsid w:val="0042219F"/>
    <w:rsid w:val="00425DE3"/>
    <w:rsid w:val="004263AC"/>
    <w:rsid w:val="00426E01"/>
    <w:rsid w:val="0043195D"/>
    <w:rsid w:val="004321AD"/>
    <w:rsid w:val="0043248E"/>
    <w:rsid w:val="00432D11"/>
    <w:rsid w:val="00436DAE"/>
    <w:rsid w:val="00437D95"/>
    <w:rsid w:val="004402C7"/>
    <w:rsid w:val="00443B8D"/>
    <w:rsid w:val="00444612"/>
    <w:rsid w:val="00444BD8"/>
    <w:rsid w:val="00446A81"/>
    <w:rsid w:val="004517A2"/>
    <w:rsid w:val="00451A6A"/>
    <w:rsid w:val="00452EF8"/>
    <w:rsid w:val="0045418E"/>
    <w:rsid w:val="004552E9"/>
    <w:rsid w:val="00473403"/>
    <w:rsid w:val="0047769F"/>
    <w:rsid w:val="0048324E"/>
    <w:rsid w:val="00487E03"/>
    <w:rsid w:val="004936E4"/>
    <w:rsid w:val="00497F84"/>
    <w:rsid w:val="004A06B0"/>
    <w:rsid w:val="004A353E"/>
    <w:rsid w:val="004A3E01"/>
    <w:rsid w:val="004A4325"/>
    <w:rsid w:val="004A78A3"/>
    <w:rsid w:val="004A7AAC"/>
    <w:rsid w:val="004B0A88"/>
    <w:rsid w:val="004B46EF"/>
    <w:rsid w:val="004C15B6"/>
    <w:rsid w:val="004C2290"/>
    <w:rsid w:val="004C6DD6"/>
    <w:rsid w:val="004D5149"/>
    <w:rsid w:val="004D59F6"/>
    <w:rsid w:val="004E02F3"/>
    <w:rsid w:val="004E06B0"/>
    <w:rsid w:val="004E0CC7"/>
    <w:rsid w:val="004E1D7C"/>
    <w:rsid w:val="004E7701"/>
    <w:rsid w:val="004F254F"/>
    <w:rsid w:val="004F6383"/>
    <w:rsid w:val="00502CF9"/>
    <w:rsid w:val="00505570"/>
    <w:rsid w:val="00513EAA"/>
    <w:rsid w:val="00517246"/>
    <w:rsid w:val="00517CD4"/>
    <w:rsid w:val="00517F9D"/>
    <w:rsid w:val="00522A95"/>
    <w:rsid w:val="00522B33"/>
    <w:rsid w:val="00525773"/>
    <w:rsid w:val="00530D49"/>
    <w:rsid w:val="00535E5E"/>
    <w:rsid w:val="00536AE0"/>
    <w:rsid w:val="005409DA"/>
    <w:rsid w:val="0054310F"/>
    <w:rsid w:val="00545575"/>
    <w:rsid w:val="005455C5"/>
    <w:rsid w:val="00545AD0"/>
    <w:rsid w:val="0054741C"/>
    <w:rsid w:val="005523BB"/>
    <w:rsid w:val="00556B31"/>
    <w:rsid w:val="005576C3"/>
    <w:rsid w:val="005577A7"/>
    <w:rsid w:val="00561083"/>
    <w:rsid w:val="00561260"/>
    <w:rsid w:val="00561FCA"/>
    <w:rsid w:val="005656AB"/>
    <w:rsid w:val="005668C6"/>
    <w:rsid w:val="005679B7"/>
    <w:rsid w:val="00570CE9"/>
    <w:rsid w:val="00573E6B"/>
    <w:rsid w:val="00573F5C"/>
    <w:rsid w:val="005744CD"/>
    <w:rsid w:val="0057682F"/>
    <w:rsid w:val="00576B17"/>
    <w:rsid w:val="00577D5D"/>
    <w:rsid w:val="00587BD5"/>
    <w:rsid w:val="00587F18"/>
    <w:rsid w:val="005947EB"/>
    <w:rsid w:val="005A05DF"/>
    <w:rsid w:val="005A2266"/>
    <w:rsid w:val="005A3546"/>
    <w:rsid w:val="005A64B1"/>
    <w:rsid w:val="005B478B"/>
    <w:rsid w:val="005B552B"/>
    <w:rsid w:val="005C680E"/>
    <w:rsid w:val="005C6B8B"/>
    <w:rsid w:val="005C7241"/>
    <w:rsid w:val="005C7716"/>
    <w:rsid w:val="005D0770"/>
    <w:rsid w:val="005D0B4C"/>
    <w:rsid w:val="005D0C52"/>
    <w:rsid w:val="005D1BC7"/>
    <w:rsid w:val="005D1C00"/>
    <w:rsid w:val="005D263E"/>
    <w:rsid w:val="005D32D3"/>
    <w:rsid w:val="005D493E"/>
    <w:rsid w:val="005D4FD9"/>
    <w:rsid w:val="005E1D40"/>
    <w:rsid w:val="005F19D2"/>
    <w:rsid w:val="005F58A3"/>
    <w:rsid w:val="005F5D77"/>
    <w:rsid w:val="005F62AE"/>
    <w:rsid w:val="005F7264"/>
    <w:rsid w:val="005F7E39"/>
    <w:rsid w:val="00600FDF"/>
    <w:rsid w:val="00614EB2"/>
    <w:rsid w:val="006200B1"/>
    <w:rsid w:val="00621F2E"/>
    <w:rsid w:val="00627287"/>
    <w:rsid w:val="0063193C"/>
    <w:rsid w:val="00632821"/>
    <w:rsid w:val="00640DAE"/>
    <w:rsid w:val="00642FCC"/>
    <w:rsid w:val="006447ED"/>
    <w:rsid w:val="00655304"/>
    <w:rsid w:val="00656A25"/>
    <w:rsid w:val="006570E1"/>
    <w:rsid w:val="00661986"/>
    <w:rsid w:val="006622C9"/>
    <w:rsid w:val="0066494D"/>
    <w:rsid w:val="00672B07"/>
    <w:rsid w:val="006740BE"/>
    <w:rsid w:val="00680750"/>
    <w:rsid w:val="00684179"/>
    <w:rsid w:val="006843B7"/>
    <w:rsid w:val="00687372"/>
    <w:rsid w:val="00692C60"/>
    <w:rsid w:val="00693616"/>
    <w:rsid w:val="006A0906"/>
    <w:rsid w:val="006B1DDC"/>
    <w:rsid w:val="006B77F6"/>
    <w:rsid w:val="006C1115"/>
    <w:rsid w:val="006C1B57"/>
    <w:rsid w:val="006C2AF3"/>
    <w:rsid w:val="006C35A7"/>
    <w:rsid w:val="006C3F05"/>
    <w:rsid w:val="006C4DF4"/>
    <w:rsid w:val="006C5B1A"/>
    <w:rsid w:val="006C67DF"/>
    <w:rsid w:val="006D0EAD"/>
    <w:rsid w:val="006D1438"/>
    <w:rsid w:val="006D38E1"/>
    <w:rsid w:val="006D3E6C"/>
    <w:rsid w:val="006D5145"/>
    <w:rsid w:val="006D5966"/>
    <w:rsid w:val="006F1E31"/>
    <w:rsid w:val="006F2C09"/>
    <w:rsid w:val="006F3616"/>
    <w:rsid w:val="00700953"/>
    <w:rsid w:val="0070305A"/>
    <w:rsid w:val="0070341C"/>
    <w:rsid w:val="00704449"/>
    <w:rsid w:val="007072C5"/>
    <w:rsid w:val="007129E7"/>
    <w:rsid w:val="00714F05"/>
    <w:rsid w:val="00720A40"/>
    <w:rsid w:val="007227BC"/>
    <w:rsid w:val="00723555"/>
    <w:rsid w:val="00724461"/>
    <w:rsid w:val="00725874"/>
    <w:rsid w:val="007267CA"/>
    <w:rsid w:val="00731F07"/>
    <w:rsid w:val="00740DEF"/>
    <w:rsid w:val="00742B4A"/>
    <w:rsid w:val="007449E2"/>
    <w:rsid w:val="00752FFC"/>
    <w:rsid w:val="00755065"/>
    <w:rsid w:val="0075679F"/>
    <w:rsid w:val="00761ABD"/>
    <w:rsid w:val="00765364"/>
    <w:rsid w:val="00766995"/>
    <w:rsid w:val="00772C39"/>
    <w:rsid w:val="0077366A"/>
    <w:rsid w:val="00775626"/>
    <w:rsid w:val="00775648"/>
    <w:rsid w:val="0079402F"/>
    <w:rsid w:val="007945BF"/>
    <w:rsid w:val="00794850"/>
    <w:rsid w:val="0079491D"/>
    <w:rsid w:val="007962BE"/>
    <w:rsid w:val="00796E56"/>
    <w:rsid w:val="0079766E"/>
    <w:rsid w:val="007A0117"/>
    <w:rsid w:val="007A52BA"/>
    <w:rsid w:val="007A7BAA"/>
    <w:rsid w:val="007B4148"/>
    <w:rsid w:val="007B4B9B"/>
    <w:rsid w:val="007B5977"/>
    <w:rsid w:val="007B6991"/>
    <w:rsid w:val="007C1CF1"/>
    <w:rsid w:val="007C3A34"/>
    <w:rsid w:val="007C4072"/>
    <w:rsid w:val="007C4C71"/>
    <w:rsid w:val="007C7A3C"/>
    <w:rsid w:val="007D2D16"/>
    <w:rsid w:val="007D363E"/>
    <w:rsid w:val="007D3839"/>
    <w:rsid w:val="007D40B9"/>
    <w:rsid w:val="007D56C3"/>
    <w:rsid w:val="007D6783"/>
    <w:rsid w:val="007E0E03"/>
    <w:rsid w:val="007E2FA6"/>
    <w:rsid w:val="007E5749"/>
    <w:rsid w:val="007E57EA"/>
    <w:rsid w:val="007F245C"/>
    <w:rsid w:val="007F2DF7"/>
    <w:rsid w:val="007F6842"/>
    <w:rsid w:val="00802E2F"/>
    <w:rsid w:val="00803A7E"/>
    <w:rsid w:val="00807353"/>
    <w:rsid w:val="00810B69"/>
    <w:rsid w:val="0081516F"/>
    <w:rsid w:val="008202E0"/>
    <w:rsid w:val="00820D14"/>
    <w:rsid w:val="00821E84"/>
    <w:rsid w:val="0082318C"/>
    <w:rsid w:val="008310DC"/>
    <w:rsid w:val="00831240"/>
    <w:rsid w:val="00831D43"/>
    <w:rsid w:val="00832F1B"/>
    <w:rsid w:val="0083581B"/>
    <w:rsid w:val="00836388"/>
    <w:rsid w:val="00842E8C"/>
    <w:rsid w:val="00847531"/>
    <w:rsid w:val="00853845"/>
    <w:rsid w:val="008569A5"/>
    <w:rsid w:val="0086481D"/>
    <w:rsid w:val="008678A9"/>
    <w:rsid w:val="00867B00"/>
    <w:rsid w:val="00867C34"/>
    <w:rsid w:val="00867C81"/>
    <w:rsid w:val="00875987"/>
    <w:rsid w:val="00877C02"/>
    <w:rsid w:val="0088070B"/>
    <w:rsid w:val="00883CAC"/>
    <w:rsid w:val="00885FCD"/>
    <w:rsid w:val="00886295"/>
    <w:rsid w:val="0088763C"/>
    <w:rsid w:val="0089039D"/>
    <w:rsid w:val="0089105B"/>
    <w:rsid w:val="008933DD"/>
    <w:rsid w:val="00893ABA"/>
    <w:rsid w:val="0089408F"/>
    <w:rsid w:val="008961C7"/>
    <w:rsid w:val="008975BA"/>
    <w:rsid w:val="008A2689"/>
    <w:rsid w:val="008A4955"/>
    <w:rsid w:val="008A4E27"/>
    <w:rsid w:val="008A5C30"/>
    <w:rsid w:val="008B2716"/>
    <w:rsid w:val="008B2D6C"/>
    <w:rsid w:val="008B59C0"/>
    <w:rsid w:val="008B7629"/>
    <w:rsid w:val="008C355E"/>
    <w:rsid w:val="008C3756"/>
    <w:rsid w:val="008C39BA"/>
    <w:rsid w:val="008D42D0"/>
    <w:rsid w:val="008D6474"/>
    <w:rsid w:val="008D74E3"/>
    <w:rsid w:val="008D74F6"/>
    <w:rsid w:val="008E16FA"/>
    <w:rsid w:val="008E1AA1"/>
    <w:rsid w:val="008E2FDB"/>
    <w:rsid w:val="008E36AC"/>
    <w:rsid w:val="008E628E"/>
    <w:rsid w:val="008F000E"/>
    <w:rsid w:val="008F0D1D"/>
    <w:rsid w:val="008F7CF2"/>
    <w:rsid w:val="00902A99"/>
    <w:rsid w:val="009032F3"/>
    <w:rsid w:val="00904417"/>
    <w:rsid w:val="00907274"/>
    <w:rsid w:val="00913E7D"/>
    <w:rsid w:val="009143F6"/>
    <w:rsid w:val="00924005"/>
    <w:rsid w:val="00925525"/>
    <w:rsid w:val="009258F8"/>
    <w:rsid w:val="0093043D"/>
    <w:rsid w:val="00932331"/>
    <w:rsid w:val="00933185"/>
    <w:rsid w:val="00933AB7"/>
    <w:rsid w:val="009351C8"/>
    <w:rsid w:val="0094203A"/>
    <w:rsid w:val="00942C85"/>
    <w:rsid w:val="009515FD"/>
    <w:rsid w:val="00953755"/>
    <w:rsid w:val="0095517E"/>
    <w:rsid w:val="009577B0"/>
    <w:rsid w:val="00960D27"/>
    <w:rsid w:val="00961F7A"/>
    <w:rsid w:val="00962EAB"/>
    <w:rsid w:val="00962F63"/>
    <w:rsid w:val="009663F5"/>
    <w:rsid w:val="00971516"/>
    <w:rsid w:val="00973002"/>
    <w:rsid w:val="00974ACC"/>
    <w:rsid w:val="00980A84"/>
    <w:rsid w:val="009819BB"/>
    <w:rsid w:val="00985C5A"/>
    <w:rsid w:val="0098679A"/>
    <w:rsid w:val="00991C52"/>
    <w:rsid w:val="00994856"/>
    <w:rsid w:val="009A4892"/>
    <w:rsid w:val="009A5144"/>
    <w:rsid w:val="009A5BE2"/>
    <w:rsid w:val="009A7151"/>
    <w:rsid w:val="009B11B4"/>
    <w:rsid w:val="009B2F6F"/>
    <w:rsid w:val="009B3051"/>
    <w:rsid w:val="009B36D3"/>
    <w:rsid w:val="009B5A93"/>
    <w:rsid w:val="009B7E22"/>
    <w:rsid w:val="009C1140"/>
    <w:rsid w:val="009C33B3"/>
    <w:rsid w:val="009C74E9"/>
    <w:rsid w:val="009C7A91"/>
    <w:rsid w:val="009D0AD5"/>
    <w:rsid w:val="009D1026"/>
    <w:rsid w:val="009D1FED"/>
    <w:rsid w:val="009D4132"/>
    <w:rsid w:val="009D4BD3"/>
    <w:rsid w:val="009D59A8"/>
    <w:rsid w:val="009D6833"/>
    <w:rsid w:val="009D6BF9"/>
    <w:rsid w:val="009D78AA"/>
    <w:rsid w:val="009E32E7"/>
    <w:rsid w:val="009E3DF7"/>
    <w:rsid w:val="009E7352"/>
    <w:rsid w:val="009F12B6"/>
    <w:rsid w:val="009F13EC"/>
    <w:rsid w:val="009F5F30"/>
    <w:rsid w:val="00A0068D"/>
    <w:rsid w:val="00A021DC"/>
    <w:rsid w:val="00A03686"/>
    <w:rsid w:val="00A03A47"/>
    <w:rsid w:val="00A042AB"/>
    <w:rsid w:val="00A07B09"/>
    <w:rsid w:val="00A11E25"/>
    <w:rsid w:val="00A13E94"/>
    <w:rsid w:val="00A21733"/>
    <w:rsid w:val="00A2392D"/>
    <w:rsid w:val="00A279DA"/>
    <w:rsid w:val="00A32A29"/>
    <w:rsid w:val="00A438C6"/>
    <w:rsid w:val="00A53D53"/>
    <w:rsid w:val="00A56A14"/>
    <w:rsid w:val="00A57C96"/>
    <w:rsid w:val="00A619C7"/>
    <w:rsid w:val="00A621C8"/>
    <w:rsid w:val="00A63039"/>
    <w:rsid w:val="00A639EE"/>
    <w:rsid w:val="00A65F40"/>
    <w:rsid w:val="00A66A5E"/>
    <w:rsid w:val="00A67B99"/>
    <w:rsid w:val="00A7188E"/>
    <w:rsid w:val="00A73AF7"/>
    <w:rsid w:val="00A755D9"/>
    <w:rsid w:val="00A81E00"/>
    <w:rsid w:val="00A8323F"/>
    <w:rsid w:val="00A86535"/>
    <w:rsid w:val="00A90451"/>
    <w:rsid w:val="00A90A93"/>
    <w:rsid w:val="00A93738"/>
    <w:rsid w:val="00A93CA9"/>
    <w:rsid w:val="00A96DD4"/>
    <w:rsid w:val="00AA1B26"/>
    <w:rsid w:val="00AA318D"/>
    <w:rsid w:val="00AA3E9B"/>
    <w:rsid w:val="00AA6A2D"/>
    <w:rsid w:val="00AB1636"/>
    <w:rsid w:val="00AB27A2"/>
    <w:rsid w:val="00AB32FA"/>
    <w:rsid w:val="00AB5B1D"/>
    <w:rsid w:val="00AC1130"/>
    <w:rsid w:val="00AC28B0"/>
    <w:rsid w:val="00AC3DE8"/>
    <w:rsid w:val="00AC3FA5"/>
    <w:rsid w:val="00AC6859"/>
    <w:rsid w:val="00AD17C3"/>
    <w:rsid w:val="00AD22C0"/>
    <w:rsid w:val="00AD3A8F"/>
    <w:rsid w:val="00AE09E5"/>
    <w:rsid w:val="00AE4CB5"/>
    <w:rsid w:val="00AF1681"/>
    <w:rsid w:val="00AF1835"/>
    <w:rsid w:val="00AF3133"/>
    <w:rsid w:val="00AF540A"/>
    <w:rsid w:val="00AF5707"/>
    <w:rsid w:val="00AF72E5"/>
    <w:rsid w:val="00B015C7"/>
    <w:rsid w:val="00B02D8C"/>
    <w:rsid w:val="00B073CD"/>
    <w:rsid w:val="00B079F4"/>
    <w:rsid w:val="00B12E54"/>
    <w:rsid w:val="00B13F4D"/>
    <w:rsid w:val="00B14F51"/>
    <w:rsid w:val="00B160A9"/>
    <w:rsid w:val="00B16F47"/>
    <w:rsid w:val="00B174F9"/>
    <w:rsid w:val="00B26192"/>
    <w:rsid w:val="00B26D25"/>
    <w:rsid w:val="00B303D2"/>
    <w:rsid w:val="00B316C1"/>
    <w:rsid w:val="00B33CCE"/>
    <w:rsid w:val="00B362E6"/>
    <w:rsid w:val="00B41067"/>
    <w:rsid w:val="00B47781"/>
    <w:rsid w:val="00B5018F"/>
    <w:rsid w:val="00B57C9E"/>
    <w:rsid w:val="00B624EC"/>
    <w:rsid w:val="00B636D9"/>
    <w:rsid w:val="00B6553E"/>
    <w:rsid w:val="00B67385"/>
    <w:rsid w:val="00B7000D"/>
    <w:rsid w:val="00B73863"/>
    <w:rsid w:val="00B754D8"/>
    <w:rsid w:val="00B833D0"/>
    <w:rsid w:val="00B84020"/>
    <w:rsid w:val="00B852FE"/>
    <w:rsid w:val="00B85E59"/>
    <w:rsid w:val="00B8764D"/>
    <w:rsid w:val="00B90B6D"/>
    <w:rsid w:val="00B925C1"/>
    <w:rsid w:val="00B95D48"/>
    <w:rsid w:val="00B97191"/>
    <w:rsid w:val="00B97D29"/>
    <w:rsid w:val="00B97F1A"/>
    <w:rsid w:val="00BA19A9"/>
    <w:rsid w:val="00BA4DCF"/>
    <w:rsid w:val="00BA685A"/>
    <w:rsid w:val="00BB0D12"/>
    <w:rsid w:val="00BB2A90"/>
    <w:rsid w:val="00BB2E06"/>
    <w:rsid w:val="00BB465D"/>
    <w:rsid w:val="00BB63AC"/>
    <w:rsid w:val="00BC433F"/>
    <w:rsid w:val="00BC786A"/>
    <w:rsid w:val="00BC794E"/>
    <w:rsid w:val="00BD20F8"/>
    <w:rsid w:val="00BD2933"/>
    <w:rsid w:val="00BD61BC"/>
    <w:rsid w:val="00BD7E7C"/>
    <w:rsid w:val="00BE0A14"/>
    <w:rsid w:val="00BE0F12"/>
    <w:rsid w:val="00BE503D"/>
    <w:rsid w:val="00BE5DB9"/>
    <w:rsid w:val="00BE7035"/>
    <w:rsid w:val="00BF06AE"/>
    <w:rsid w:val="00BF38FD"/>
    <w:rsid w:val="00BF6D59"/>
    <w:rsid w:val="00C06A3C"/>
    <w:rsid w:val="00C1018A"/>
    <w:rsid w:val="00C23C88"/>
    <w:rsid w:val="00C246EC"/>
    <w:rsid w:val="00C257BB"/>
    <w:rsid w:val="00C31F99"/>
    <w:rsid w:val="00C36117"/>
    <w:rsid w:val="00C36302"/>
    <w:rsid w:val="00C376F2"/>
    <w:rsid w:val="00C4325B"/>
    <w:rsid w:val="00C47F80"/>
    <w:rsid w:val="00C50411"/>
    <w:rsid w:val="00C54E4E"/>
    <w:rsid w:val="00C57F09"/>
    <w:rsid w:val="00C67F00"/>
    <w:rsid w:val="00C70AE7"/>
    <w:rsid w:val="00C71BC7"/>
    <w:rsid w:val="00C736AE"/>
    <w:rsid w:val="00C75C80"/>
    <w:rsid w:val="00C77C8F"/>
    <w:rsid w:val="00C8059F"/>
    <w:rsid w:val="00C817B9"/>
    <w:rsid w:val="00C83024"/>
    <w:rsid w:val="00C90DFC"/>
    <w:rsid w:val="00C91913"/>
    <w:rsid w:val="00C92090"/>
    <w:rsid w:val="00C93F3C"/>
    <w:rsid w:val="00C94D7B"/>
    <w:rsid w:val="00C974A6"/>
    <w:rsid w:val="00C9789C"/>
    <w:rsid w:val="00C978D8"/>
    <w:rsid w:val="00CA0EB5"/>
    <w:rsid w:val="00CA2B30"/>
    <w:rsid w:val="00CA3307"/>
    <w:rsid w:val="00CA767C"/>
    <w:rsid w:val="00CB1893"/>
    <w:rsid w:val="00CB2412"/>
    <w:rsid w:val="00CB44A4"/>
    <w:rsid w:val="00CB4D40"/>
    <w:rsid w:val="00CB74AB"/>
    <w:rsid w:val="00CC0E37"/>
    <w:rsid w:val="00CC0E6F"/>
    <w:rsid w:val="00CC1352"/>
    <w:rsid w:val="00CC397F"/>
    <w:rsid w:val="00CC4584"/>
    <w:rsid w:val="00CC5C72"/>
    <w:rsid w:val="00CC6338"/>
    <w:rsid w:val="00CC7EE8"/>
    <w:rsid w:val="00CD190A"/>
    <w:rsid w:val="00CD1F4B"/>
    <w:rsid w:val="00CD4CCE"/>
    <w:rsid w:val="00CE0533"/>
    <w:rsid w:val="00CE0A16"/>
    <w:rsid w:val="00CE3FA2"/>
    <w:rsid w:val="00CF1EE6"/>
    <w:rsid w:val="00CF3F1E"/>
    <w:rsid w:val="00CF56BD"/>
    <w:rsid w:val="00CF5DF5"/>
    <w:rsid w:val="00D01549"/>
    <w:rsid w:val="00D02E26"/>
    <w:rsid w:val="00D03CBD"/>
    <w:rsid w:val="00D03CF4"/>
    <w:rsid w:val="00D03DCF"/>
    <w:rsid w:val="00D05B84"/>
    <w:rsid w:val="00D06158"/>
    <w:rsid w:val="00D0664D"/>
    <w:rsid w:val="00D079C8"/>
    <w:rsid w:val="00D11063"/>
    <w:rsid w:val="00D129C5"/>
    <w:rsid w:val="00D134D5"/>
    <w:rsid w:val="00D14336"/>
    <w:rsid w:val="00D16B6E"/>
    <w:rsid w:val="00D20679"/>
    <w:rsid w:val="00D20DA9"/>
    <w:rsid w:val="00D21D71"/>
    <w:rsid w:val="00D23742"/>
    <w:rsid w:val="00D24340"/>
    <w:rsid w:val="00D26A2D"/>
    <w:rsid w:val="00D36B23"/>
    <w:rsid w:val="00D4026C"/>
    <w:rsid w:val="00D414F8"/>
    <w:rsid w:val="00D4652E"/>
    <w:rsid w:val="00D536A5"/>
    <w:rsid w:val="00D54ADB"/>
    <w:rsid w:val="00D57B4B"/>
    <w:rsid w:val="00D62956"/>
    <w:rsid w:val="00D62F27"/>
    <w:rsid w:val="00D64ACD"/>
    <w:rsid w:val="00D65363"/>
    <w:rsid w:val="00D65FCD"/>
    <w:rsid w:val="00D72E06"/>
    <w:rsid w:val="00D739F5"/>
    <w:rsid w:val="00D74BE2"/>
    <w:rsid w:val="00D75078"/>
    <w:rsid w:val="00D75C6D"/>
    <w:rsid w:val="00D76E83"/>
    <w:rsid w:val="00D776D1"/>
    <w:rsid w:val="00D81869"/>
    <w:rsid w:val="00D95554"/>
    <w:rsid w:val="00D95C99"/>
    <w:rsid w:val="00D9653B"/>
    <w:rsid w:val="00D96D37"/>
    <w:rsid w:val="00DA4C00"/>
    <w:rsid w:val="00DA6F50"/>
    <w:rsid w:val="00DA7F4D"/>
    <w:rsid w:val="00DB0E34"/>
    <w:rsid w:val="00DB5914"/>
    <w:rsid w:val="00DB77D3"/>
    <w:rsid w:val="00DC0532"/>
    <w:rsid w:val="00DC518D"/>
    <w:rsid w:val="00DD3A94"/>
    <w:rsid w:val="00DD4043"/>
    <w:rsid w:val="00DD4D24"/>
    <w:rsid w:val="00DE05FA"/>
    <w:rsid w:val="00DE1B55"/>
    <w:rsid w:val="00DE5870"/>
    <w:rsid w:val="00DF47F6"/>
    <w:rsid w:val="00DF6127"/>
    <w:rsid w:val="00E00C29"/>
    <w:rsid w:val="00E02106"/>
    <w:rsid w:val="00E02E15"/>
    <w:rsid w:val="00E0681C"/>
    <w:rsid w:val="00E06F3A"/>
    <w:rsid w:val="00E109A7"/>
    <w:rsid w:val="00E10D81"/>
    <w:rsid w:val="00E1170E"/>
    <w:rsid w:val="00E14483"/>
    <w:rsid w:val="00E1570E"/>
    <w:rsid w:val="00E16D9F"/>
    <w:rsid w:val="00E176AF"/>
    <w:rsid w:val="00E177D0"/>
    <w:rsid w:val="00E17E11"/>
    <w:rsid w:val="00E21012"/>
    <w:rsid w:val="00E21669"/>
    <w:rsid w:val="00E22FB2"/>
    <w:rsid w:val="00E235FA"/>
    <w:rsid w:val="00E238EF"/>
    <w:rsid w:val="00E23A0A"/>
    <w:rsid w:val="00E241EB"/>
    <w:rsid w:val="00E246D4"/>
    <w:rsid w:val="00E24EC7"/>
    <w:rsid w:val="00E261B4"/>
    <w:rsid w:val="00E33C5C"/>
    <w:rsid w:val="00E44FB7"/>
    <w:rsid w:val="00E452A1"/>
    <w:rsid w:val="00E45F65"/>
    <w:rsid w:val="00E46E4E"/>
    <w:rsid w:val="00E56BA0"/>
    <w:rsid w:val="00E56C4D"/>
    <w:rsid w:val="00E56EC3"/>
    <w:rsid w:val="00E57D3D"/>
    <w:rsid w:val="00E61F7A"/>
    <w:rsid w:val="00E6268A"/>
    <w:rsid w:val="00E70459"/>
    <w:rsid w:val="00E729AF"/>
    <w:rsid w:val="00E7479F"/>
    <w:rsid w:val="00E75A0F"/>
    <w:rsid w:val="00E75C7F"/>
    <w:rsid w:val="00E87B95"/>
    <w:rsid w:val="00E933A1"/>
    <w:rsid w:val="00E95435"/>
    <w:rsid w:val="00E957F3"/>
    <w:rsid w:val="00E96C0D"/>
    <w:rsid w:val="00E973EB"/>
    <w:rsid w:val="00E97A59"/>
    <w:rsid w:val="00E97E2C"/>
    <w:rsid w:val="00EA2AE4"/>
    <w:rsid w:val="00EA31FA"/>
    <w:rsid w:val="00EA4D4D"/>
    <w:rsid w:val="00EA4FBC"/>
    <w:rsid w:val="00EA7E49"/>
    <w:rsid w:val="00EB2B33"/>
    <w:rsid w:val="00EB377B"/>
    <w:rsid w:val="00EB384A"/>
    <w:rsid w:val="00EC5FAA"/>
    <w:rsid w:val="00EE09B0"/>
    <w:rsid w:val="00EE0ED7"/>
    <w:rsid w:val="00EE12F6"/>
    <w:rsid w:val="00EE356A"/>
    <w:rsid w:val="00EE4961"/>
    <w:rsid w:val="00EE4B16"/>
    <w:rsid w:val="00EE4D30"/>
    <w:rsid w:val="00EE50D0"/>
    <w:rsid w:val="00EE595B"/>
    <w:rsid w:val="00EE5A75"/>
    <w:rsid w:val="00EE66A4"/>
    <w:rsid w:val="00EF1FD3"/>
    <w:rsid w:val="00F00AAE"/>
    <w:rsid w:val="00F00AC1"/>
    <w:rsid w:val="00F01BDB"/>
    <w:rsid w:val="00F03819"/>
    <w:rsid w:val="00F03A9F"/>
    <w:rsid w:val="00F04F13"/>
    <w:rsid w:val="00F05951"/>
    <w:rsid w:val="00F073C9"/>
    <w:rsid w:val="00F1229B"/>
    <w:rsid w:val="00F211F1"/>
    <w:rsid w:val="00F21D4B"/>
    <w:rsid w:val="00F21DF0"/>
    <w:rsid w:val="00F3510E"/>
    <w:rsid w:val="00F35FE5"/>
    <w:rsid w:val="00F36287"/>
    <w:rsid w:val="00F407AF"/>
    <w:rsid w:val="00F444E4"/>
    <w:rsid w:val="00F50DB2"/>
    <w:rsid w:val="00F5225C"/>
    <w:rsid w:val="00F52A25"/>
    <w:rsid w:val="00F53B53"/>
    <w:rsid w:val="00F55D65"/>
    <w:rsid w:val="00F56D78"/>
    <w:rsid w:val="00F65597"/>
    <w:rsid w:val="00F65EE0"/>
    <w:rsid w:val="00F662B9"/>
    <w:rsid w:val="00F771F3"/>
    <w:rsid w:val="00F779FE"/>
    <w:rsid w:val="00F875C9"/>
    <w:rsid w:val="00F93509"/>
    <w:rsid w:val="00F93FAC"/>
    <w:rsid w:val="00F961A5"/>
    <w:rsid w:val="00F96712"/>
    <w:rsid w:val="00F96D2A"/>
    <w:rsid w:val="00F97CE3"/>
    <w:rsid w:val="00FA3303"/>
    <w:rsid w:val="00FA5565"/>
    <w:rsid w:val="00FA7D0E"/>
    <w:rsid w:val="00FA7DA6"/>
    <w:rsid w:val="00FA7E2F"/>
    <w:rsid w:val="00FB1143"/>
    <w:rsid w:val="00FB15BD"/>
    <w:rsid w:val="00FB1DC1"/>
    <w:rsid w:val="00FB54E5"/>
    <w:rsid w:val="00FB6DB0"/>
    <w:rsid w:val="00FC1C88"/>
    <w:rsid w:val="00FC2130"/>
    <w:rsid w:val="00FC3917"/>
    <w:rsid w:val="00FC7A49"/>
    <w:rsid w:val="00FD04C2"/>
    <w:rsid w:val="00FD4C5A"/>
    <w:rsid w:val="00FD69D0"/>
    <w:rsid w:val="00FE0973"/>
    <w:rsid w:val="00FE113C"/>
    <w:rsid w:val="00FE22CD"/>
    <w:rsid w:val="00FE7355"/>
    <w:rsid w:val="00FE7AD3"/>
    <w:rsid w:val="00FF2F62"/>
    <w:rsid w:val="00FF337C"/>
    <w:rsid w:val="00FF639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4D864"/>
  <w15:docId w15:val="{1351FF1C-C70D-4B8C-A0E8-9DEF330A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02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3024"/>
    <w:pPr>
      <w:tabs>
        <w:tab w:val="center" w:pos="4677"/>
        <w:tab w:val="right" w:pos="9355"/>
      </w:tabs>
    </w:pPr>
    <w:rPr>
      <w:rFonts w:eastAsia="Calibri"/>
      <w:sz w:val="20"/>
      <w:szCs w:val="20"/>
    </w:rPr>
  </w:style>
  <w:style w:type="character" w:customStyle="1" w:styleId="a4">
    <w:name w:val="Верхний колонтитул Знак"/>
    <w:basedOn w:val="a0"/>
    <w:link w:val="a3"/>
    <w:rsid w:val="00C83024"/>
    <w:rPr>
      <w:rFonts w:ascii="Calibri" w:eastAsia="Calibri" w:hAnsi="Calibri" w:cs="Times New Roman"/>
      <w:sz w:val="20"/>
      <w:szCs w:val="20"/>
    </w:rPr>
  </w:style>
  <w:style w:type="paragraph" w:styleId="a5">
    <w:name w:val="footer"/>
    <w:basedOn w:val="a"/>
    <w:link w:val="a6"/>
    <w:uiPriority w:val="99"/>
    <w:rsid w:val="00C83024"/>
    <w:pPr>
      <w:tabs>
        <w:tab w:val="center" w:pos="4677"/>
        <w:tab w:val="right" w:pos="9355"/>
      </w:tabs>
    </w:pPr>
    <w:rPr>
      <w:rFonts w:eastAsia="Calibri"/>
      <w:sz w:val="20"/>
      <w:szCs w:val="20"/>
    </w:rPr>
  </w:style>
  <w:style w:type="character" w:customStyle="1" w:styleId="a6">
    <w:name w:val="Нижний колонтитул Знак"/>
    <w:basedOn w:val="a0"/>
    <w:link w:val="a5"/>
    <w:uiPriority w:val="99"/>
    <w:rsid w:val="00C83024"/>
    <w:rPr>
      <w:rFonts w:ascii="Calibri" w:eastAsia="Calibri" w:hAnsi="Calibri" w:cs="Times New Roman"/>
      <w:sz w:val="20"/>
      <w:szCs w:val="20"/>
    </w:rPr>
  </w:style>
  <w:style w:type="paragraph" w:customStyle="1" w:styleId="NormalWeb">
    <w:name w:val="Normal(Web)"/>
    <w:basedOn w:val="a"/>
    <w:rsid w:val="00C83024"/>
    <w:pPr>
      <w:widowControl w:val="0"/>
      <w:autoSpaceDE w:val="0"/>
      <w:autoSpaceDN w:val="0"/>
      <w:adjustRightInd w:val="0"/>
      <w:spacing w:before="100" w:beforeAutospacing="1" w:after="100" w:afterAutospacing="1" w:line="240" w:lineRule="auto"/>
    </w:pPr>
    <w:rPr>
      <w:rFonts w:ascii="Verdana" w:hAnsi="Verdana" w:cs="Verdana"/>
      <w:color w:val="000000"/>
      <w:sz w:val="17"/>
      <w:szCs w:val="17"/>
      <w:lang w:val="en-US"/>
    </w:rPr>
  </w:style>
  <w:style w:type="paragraph" w:styleId="a7">
    <w:name w:val="List Paragraph"/>
    <w:basedOn w:val="a"/>
    <w:uiPriority w:val="34"/>
    <w:qFormat/>
    <w:rsid w:val="00C83024"/>
    <w:pPr>
      <w:ind w:left="720"/>
      <w:contextualSpacing/>
    </w:pPr>
  </w:style>
  <w:style w:type="paragraph" w:customStyle="1" w:styleId="a8">
    <w:name w:val="a"/>
    <w:basedOn w:val="a"/>
    <w:rsid w:val="00C83024"/>
    <w:pPr>
      <w:spacing w:before="100" w:beforeAutospacing="1" w:after="100" w:afterAutospacing="1" w:line="240" w:lineRule="auto"/>
    </w:pPr>
    <w:rPr>
      <w:rFonts w:ascii="Times New Roman" w:hAnsi="Times New Roman"/>
      <w:sz w:val="24"/>
      <w:szCs w:val="24"/>
      <w:lang w:eastAsia="ru-RU"/>
    </w:rPr>
  </w:style>
  <w:style w:type="paragraph" w:customStyle="1" w:styleId="aa">
    <w:name w:val="aa"/>
    <w:basedOn w:val="a"/>
    <w:rsid w:val="00C83024"/>
    <w:pPr>
      <w:spacing w:before="100" w:beforeAutospacing="1" w:after="100" w:afterAutospacing="1" w:line="240" w:lineRule="auto"/>
    </w:pPr>
    <w:rPr>
      <w:rFonts w:ascii="Times New Roman" w:hAnsi="Times New Roman"/>
      <w:sz w:val="24"/>
      <w:szCs w:val="24"/>
      <w:lang w:eastAsia="ru-RU"/>
    </w:rPr>
  </w:style>
  <w:style w:type="character" w:customStyle="1" w:styleId="y">
    <w:name w:val="y"/>
    <w:basedOn w:val="a0"/>
    <w:rsid w:val="00C83024"/>
  </w:style>
  <w:style w:type="paragraph" w:styleId="a9">
    <w:name w:val="Normal (Web)"/>
    <w:basedOn w:val="a"/>
    <w:uiPriority w:val="99"/>
    <w:unhideWhenUsed/>
    <w:rsid w:val="00C83024"/>
    <w:pPr>
      <w:spacing w:before="100" w:beforeAutospacing="1" w:after="100" w:afterAutospacing="1" w:line="240" w:lineRule="auto"/>
    </w:pPr>
    <w:rPr>
      <w:rFonts w:ascii="Times New Roman" w:hAnsi="Times New Roman"/>
      <w:sz w:val="24"/>
      <w:szCs w:val="24"/>
      <w:lang w:eastAsia="ru-RU"/>
    </w:rPr>
  </w:style>
  <w:style w:type="paragraph" w:styleId="ab">
    <w:name w:val="footnote text"/>
    <w:basedOn w:val="a"/>
    <w:link w:val="ac"/>
    <w:rsid w:val="00C83024"/>
    <w:pPr>
      <w:spacing w:after="0" w:line="240" w:lineRule="auto"/>
    </w:pPr>
    <w:rPr>
      <w:sz w:val="20"/>
      <w:szCs w:val="20"/>
    </w:rPr>
  </w:style>
  <w:style w:type="character" w:customStyle="1" w:styleId="ac">
    <w:name w:val="Текст сноски Знак"/>
    <w:basedOn w:val="a0"/>
    <w:link w:val="ab"/>
    <w:rsid w:val="00C83024"/>
    <w:rPr>
      <w:rFonts w:ascii="Calibri" w:eastAsia="Times New Roman" w:hAnsi="Calibri" w:cs="Times New Roman"/>
      <w:sz w:val="20"/>
      <w:szCs w:val="20"/>
    </w:rPr>
  </w:style>
  <w:style w:type="character" w:styleId="ad">
    <w:name w:val="footnote reference"/>
    <w:basedOn w:val="a0"/>
    <w:rsid w:val="00C83024"/>
    <w:rPr>
      <w:vertAlign w:val="superscript"/>
    </w:rPr>
  </w:style>
  <w:style w:type="paragraph" w:styleId="ae">
    <w:name w:val="Balloon Text"/>
    <w:basedOn w:val="a"/>
    <w:link w:val="af"/>
    <w:uiPriority w:val="99"/>
    <w:semiHidden/>
    <w:unhideWhenUsed/>
    <w:rsid w:val="00C8302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3024"/>
    <w:rPr>
      <w:rFonts w:ascii="Tahoma" w:eastAsia="Times New Roman" w:hAnsi="Tahoma" w:cs="Tahoma"/>
      <w:sz w:val="16"/>
      <w:szCs w:val="16"/>
    </w:rPr>
  </w:style>
  <w:style w:type="table" w:styleId="af0">
    <w:name w:val="Table Grid"/>
    <w:basedOn w:val="a1"/>
    <w:uiPriority w:val="59"/>
    <w:rsid w:val="000F3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
    <w:name w:val="ao"/>
    <w:basedOn w:val="a"/>
    <w:uiPriority w:val="99"/>
    <w:rsid w:val="000F3CA8"/>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aw">
    <w:name w:val="aw"/>
    <w:basedOn w:val="a"/>
    <w:rsid w:val="005B478B"/>
    <w:pPr>
      <w:spacing w:before="100" w:beforeAutospacing="1" w:after="100" w:afterAutospacing="1" w:line="240" w:lineRule="auto"/>
    </w:pPr>
    <w:rPr>
      <w:rFonts w:ascii="Times New Roman" w:hAnsi="Times New Roman"/>
      <w:sz w:val="24"/>
      <w:szCs w:val="24"/>
      <w:lang w:eastAsia="ru-RU"/>
    </w:rPr>
  </w:style>
  <w:style w:type="character" w:customStyle="1" w:styleId="az">
    <w:name w:val="az"/>
    <w:basedOn w:val="a0"/>
    <w:rsid w:val="005B478B"/>
  </w:style>
  <w:style w:type="character" w:styleId="af1">
    <w:name w:val="annotation reference"/>
    <w:basedOn w:val="a0"/>
    <w:uiPriority w:val="99"/>
    <w:semiHidden/>
    <w:unhideWhenUsed/>
    <w:rsid w:val="00300491"/>
    <w:rPr>
      <w:sz w:val="16"/>
      <w:szCs w:val="16"/>
    </w:rPr>
  </w:style>
  <w:style w:type="paragraph" w:styleId="af2">
    <w:name w:val="annotation text"/>
    <w:basedOn w:val="a"/>
    <w:link w:val="af3"/>
    <w:uiPriority w:val="99"/>
    <w:semiHidden/>
    <w:unhideWhenUsed/>
    <w:rsid w:val="00300491"/>
    <w:pPr>
      <w:spacing w:line="240" w:lineRule="auto"/>
    </w:pPr>
    <w:rPr>
      <w:sz w:val="20"/>
      <w:szCs w:val="20"/>
    </w:rPr>
  </w:style>
  <w:style w:type="character" w:customStyle="1" w:styleId="af3">
    <w:name w:val="Текст примечания Знак"/>
    <w:basedOn w:val="a0"/>
    <w:link w:val="af2"/>
    <w:uiPriority w:val="99"/>
    <w:semiHidden/>
    <w:rsid w:val="00300491"/>
    <w:rPr>
      <w:rFonts w:ascii="Calibri" w:eastAsia="Times New Roman" w:hAnsi="Calibri" w:cs="Times New Roman"/>
      <w:sz w:val="20"/>
      <w:szCs w:val="20"/>
    </w:rPr>
  </w:style>
  <w:style w:type="paragraph" w:styleId="af4">
    <w:name w:val="annotation subject"/>
    <w:basedOn w:val="af2"/>
    <w:next w:val="af2"/>
    <w:link w:val="af5"/>
    <w:uiPriority w:val="99"/>
    <w:semiHidden/>
    <w:unhideWhenUsed/>
    <w:rsid w:val="00300491"/>
    <w:rPr>
      <w:b/>
      <w:bCs/>
    </w:rPr>
  </w:style>
  <w:style w:type="character" w:customStyle="1" w:styleId="af5">
    <w:name w:val="Тема примечания Знак"/>
    <w:basedOn w:val="af3"/>
    <w:link w:val="af4"/>
    <w:uiPriority w:val="99"/>
    <w:semiHidden/>
    <w:rsid w:val="00300491"/>
    <w:rPr>
      <w:rFonts w:ascii="Calibri" w:eastAsia="Times New Roman" w:hAnsi="Calibri" w:cs="Times New Roman"/>
      <w:b/>
      <w:bCs/>
      <w:sz w:val="20"/>
      <w:szCs w:val="20"/>
    </w:rPr>
  </w:style>
  <w:style w:type="paragraph" w:customStyle="1" w:styleId="Default">
    <w:name w:val="Default"/>
    <w:rsid w:val="00772C39"/>
    <w:pPr>
      <w:autoSpaceDE w:val="0"/>
      <w:autoSpaceDN w:val="0"/>
      <w:adjustRightInd w:val="0"/>
      <w:spacing w:after="0" w:line="240" w:lineRule="auto"/>
    </w:pPr>
    <w:rPr>
      <w:rFonts w:ascii="Arial" w:hAnsi="Arial" w:cs="Arial"/>
      <w:color w:val="000000"/>
      <w:sz w:val="24"/>
      <w:szCs w:val="24"/>
      <w:lang w:val="en-GB"/>
    </w:rPr>
  </w:style>
  <w:style w:type="paragraph" w:customStyle="1" w:styleId="tabletext">
    <w:name w:val="table_text"/>
    <w:basedOn w:val="a"/>
    <w:link w:val="tabletextChar"/>
    <w:rsid w:val="00F93509"/>
    <w:pPr>
      <w:numPr>
        <w:ilvl w:val="12"/>
      </w:numPr>
      <w:spacing w:before="65" w:after="65" w:line="240" w:lineRule="auto"/>
    </w:pPr>
    <w:rPr>
      <w:rFonts w:ascii="Times New Roman" w:hAnsi="Times New Roman"/>
      <w:sz w:val="20"/>
      <w:szCs w:val="24"/>
      <w:lang w:val="en-US"/>
    </w:rPr>
  </w:style>
  <w:style w:type="paragraph" w:customStyle="1" w:styleId="ConsPlusNormal">
    <w:name w:val="ConsPlusNormal"/>
    <w:rsid w:val="00F93509"/>
    <w:pPr>
      <w:autoSpaceDE w:val="0"/>
      <w:autoSpaceDN w:val="0"/>
      <w:adjustRightInd w:val="0"/>
      <w:spacing w:after="0" w:line="240" w:lineRule="auto"/>
    </w:pPr>
    <w:rPr>
      <w:rFonts w:ascii="Arial" w:eastAsia="Times New Roman" w:hAnsi="Arial" w:cs="Arial"/>
      <w:sz w:val="20"/>
      <w:szCs w:val="20"/>
      <w:lang w:val="en-US" w:eastAsia="ru-RU"/>
    </w:rPr>
  </w:style>
  <w:style w:type="character" w:customStyle="1" w:styleId="tabletextChar">
    <w:name w:val="table_text Char"/>
    <w:link w:val="tabletext"/>
    <w:rsid w:val="00F93509"/>
    <w:rPr>
      <w:rFonts w:ascii="Times New Roman" w:eastAsia="Times New Roman" w:hAnsi="Times New Roman" w:cs="Times New Roman"/>
      <w:sz w:val="20"/>
      <w:szCs w:val="24"/>
      <w:lang w:val="en-US"/>
    </w:rPr>
  </w:style>
  <w:style w:type="character" w:styleId="af6">
    <w:name w:val="Hyperlink"/>
    <w:basedOn w:val="a0"/>
    <w:uiPriority w:val="99"/>
    <w:unhideWhenUsed/>
    <w:rsid w:val="001B6F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54443">
      <w:bodyDiv w:val="1"/>
      <w:marLeft w:val="0"/>
      <w:marRight w:val="0"/>
      <w:marTop w:val="0"/>
      <w:marBottom w:val="0"/>
      <w:divBdr>
        <w:top w:val="none" w:sz="0" w:space="0" w:color="auto"/>
        <w:left w:val="none" w:sz="0" w:space="0" w:color="auto"/>
        <w:bottom w:val="none" w:sz="0" w:space="0" w:color="auto"/>
        <w:right w:val="none" w:sz="0" w:space="0" w:color="auto"/>
      </w:divBdr>
    </w:div>
    <w:div w:id="244461199">
      <w:bodyDiv w:val="1"/>
      <w:marLeft w:val="0"/>
      <w:marRight w:val="0"/>
      <w:marTop w:val="0"/>
      <w:marBottom w:val="0"/>
      <w:divBdr>
        <w:top w:val="none" w:sz="0" w:space="0" w:color="auto"/>
        <w:left w:val="none" w:sz="0" w:space="0" w:color="auto"/>
        <w:bottom w:val="none" w:sz="0" w:space="0" w:color="auto"/>
        <w:right w:val="none" w:sz="0" w:space="0" w:color="auto"/>
      </w:divBdr>
    </w:div>
    <w:div w:id="284820761">
      <w:bodyDiv w:val="1"/>
      <w:marLeft w:val="0"/>
      <w:marRight w:val="0"/>
      <w:marTop w:val="0"/>
      <w:marBottom w:val="0"/>
      <w:divBdr>
        <w:top w:val="none" w:sz="0" w:space="0" w:color="auto"/>
        <w:left w:val="none" w:sz="0" w:space="0" w:color="auto"/>
        <w:bottom w:val="none" w:sz="0" w:space="0" w:color="auto"/>
        <w:right w:val="none" w:sz="0" w:space="0" w:color="auto"/>
      </w:divBdr>
    </w:div>
    <w:div w:id="370616032">
      <w:bodyDiv w:val="1"/>
      <w:marLeft w:val="0"/>
      <w:marRight w:val="0"/>
      <w:marTop w:val="0"/>
      <w:marBottom w:val="0"/>
      <w:divBdr>
        <w:top w:val="none" w:sz="0" w:space="0" w:color="auto"/>
        <w:left w:val="none" w:sz="0" w:space="0" w:color="auto"/>
        <w:bottom w:val="none" w:sz="0" w:space="0" w:color="auto"/>
        <w:right w:val="none" w:sz="0" w:space="0" w:color="auto"/>
      </w:divBdr>
    </w:div>
    <w:div w:id="400952779">
      <w:bodyDiv w:val="1"/>
      <w:marLeft w:val="0"/>
      <w:marRight w:val="0"/>
      <w:marTop w:val="0"/>
      <w:marBottom w:val="0"/>
      <w:divBdr>
        <w:top w:val="none" w:sz="0" w:space="0" w:color="auto"/>
        <w:left w:val="none" w:sz="0" w:space="0" w:color="auto"/>
        <w:bottom w:val="none" w:sz="0" w:space="0" w:color="auto"/>
        <w:right w:val="none" w:sz="0" w:space="0" w:color="auto"/>
      </w:divBdr>
    </w:div>
    <w:div w:id="414400313">
      <w:bodyDiv w:val="1"/>
      <w:marLeft w:val="0"/>
      <w:marRight w:val="0"/>
      <w:marTop w:val="0"/>
      <w:marBottom w:val="0"/>
      <w:divBdr>
        <w:top w:val="none" w:sz="0" w:space="0" w:color="auto"/>
        <w:left w:val="none" w:sz="0" w:space="0" w:color="auto"/>
        <w:bottom w:val="none" w:sz="0" w:space="0" w:color="auto"/>
        <w:right w:val="none" w:sz="0" w:space="0" w:color="auto"/>
      </w:divBdr>
    </w:div>
    <w:div w:id="430052900">
      <w:bodyDiv w:val="1"/>
      <w:marLeft w:val="0"/>
      <w:marRight w:val="0"/>
      <w:marTop w:val="0"/>
      <w:marBottom w:val="0"/>
      <w:divBdr>
        <w:top w:val="none" w:sz="0" w:space="0" w:color="auto"/>
        <w:left w:val="none" w:sz="0" w:space="0" w:color="auto"/>
        <w:bottom w:val="none" w:sz="0" w:space="0" w:color="auto"/>
        <w:right w:val="none" w:sz="0" w:space="0" w:color="auto"/>
      </w:divBdr>
    </w:div>
    <w:div w:id="475145953">
      <w:bodyDiv w:val="1"/>
      <w:marLeft w:val="0"/>
      <w:marRight w:val="0"/>
      <w:marTop w:val="0"/>
      <w:marBottom w:val="0"/>
      <w:divBdr>
        <w:top w:val="none" w:sz="0" w:space="0" w:color="auto"/>
        <w:left w:val="none" w:sz="0" w:space="0" w:color="auto"/>
        <w:bottom w:val="none" w:sz="0" w:space="0" w:color="auto"/>
        <w:right w:val="none" w:sz="0" w:space="0" w:color="auto"/>
      </w:divBdr>
    </w:div>
    <w:div w:id="496268437">
      <w:bodyDiv w:val="1"/>
      <w:marLeft w:val="0"/>
      <w:marRight w:val="0"/>
      <w:marTop w:val="0"/>
      <w:marBottom w:val="0"/>
      <w:divBdr>
        <w:top w:val="none" w:sz="0" w:space="0" w:color="auto"/>
        <w:left w:val="none" w:sz="0" w:space="0" w:color="auto"/>
        <w:bottom w:val="none" w:sz="0" w:space="0" w:color="auto"/>
        <w:right w:val="none" w:sz="0" w:space="0" w:color="auto"/>
      </w:divBdr>
    </w:div>
    <w:div w:id="500388627">
      <w:bodyDiv w:val="1"/>
      <w:marLeft w:val="0"/>
      <w:marRight w:val="0"/>
      <w:marTop w:val="0"/>
      <w:marBottom w:val="0"/>
      <w:divBdr>
        <w:top w:val="none" w:sz="0" w:space="0" w:color="auto"/>
        <w:left w:val="none" w:sz="0" w:space="0" w:color="auto"/>
        <w:bottom w:val="none" w:sz="0" w:space="0" w:color="auto"/>
        <w:right w:val="none" w:sz="0" w:space="0" w:color="auto"/>
      </w:divBdr>
    </w:div>
    <w:div w:id="500658839">
      <w:bodyDiv w:val="1"/>
      <w:marLeft w:val="0"/>
      <w:marRight w:val="0"/>
      <w:marTop w:val="0"/>
      <w:marBottom w:val="0"/>
      <w:divBdr>
        <w:top w:val="none" w:sz="0" w:space="0" w:color="auto"/>
        <w:left w:val="none" w:sz="0" w:space="0" w:color="auto"/>
        <w:bottom w:val="none" w:sz="0" w:space="0" w:color="auto"/>
        <w:right w:val="none" w:sz="0" w:space="0" w:color="auto"/>
      </w:divBdr>
    </w:div>
    <w:div w:id="610823176">
      <w:bodyDiv w:val="1"/>
      <w:marLeft w:val="0"/>
      <w:marRight w:val="0"/>
      <w:marTop w:val="0"/>
      <w:marBottom w:val="0"/>
      <w:divBdr>
        <w:top w:val="none" w:sz="0" w:space="0" w:color="auto"/>
        <w:left w:val="none" w:sz="0" w:space="0" w:color="auto"/>
        <w:bottom w:val="none" w:sz="0" w:space="0" w:color="auto"/>
        <w:right w:val="none" w:sz="0" w:space="0" w:color="auto"/>
      </w:divBdr>
    </w:div>
    <w:div w:id="665594660">
      <w:bodyDiv w:val="1"/>
      <w:marLeft w:val="0"/>
      <w:marRight w:val="0"/>
      <w:marTop w:val="0"/>
      <w:marBottom w:val="0"/>
      <w:divBdr>
        <w:top w:val="none" w:sz="0" w:space="0" w:color="auto"/>
        <w:left w:val="none" w:sz="0" w:space="0" w:color="auto"/>
        <w:bottom w:val="none" w:sz="0" w:space="0" w:color="auto"/>
        <w:right w:val="none" w:sz="0" w:space="0" w:color="auto"/>
      </w:divBdr>
    </w:div>
    <w:div w:id="726301476">
      <w:bodyDiv w:val="1"/>
      <w:marLeft w:val="0"/>
      <w:marRight w:val="0"/>
      <w:marTop w:val="0"/>
      <w:marBottom w:val="0"/>
      <w:divBdr>
        <w:top w:val="none" w:sz="0" w:space="0" w:color="auto"/>
        <w:left w:val="none" w:sz="0" w:space="0" w:color="auto"/>
        <w:bottom w:val="none" w:sz="0" w:space="0" w:color="auto"/>
        <w:right w:val="none" w:sz="0" w:space="0" w:color="auto"/>
      </w:divBdr>
    </w:div>
    <w:div w:id="757866004">
      <w:bodyDiv w:val="1"/>
      <w:marLeft w:val="0"/>
      <w:marRight w:val="0"/>
      <w:marTop w:val="0"/>
      <w:marBottom w:val="0"/>
      <w:divBdr>
        <w:top w:val="none" w:sz="0" w:space="0" w:color="auto"/>
        <w:left w:val="none" w:sz="0" w:space="0" w:color="auto"/>
        <w:bottom w:val="none" w:sz="0" w:space="0" w:color="auto"/>
        <w:right w:val="none" w:sz="0" w:space="0" w:color="auto"/>
      </w:divBdr>
    </w:div>
    <w:div w:id="768893170">
      <w:bodyDiv w:val="1"/>
      <w:marLeft w:val="0"/>
      <w:marRight w:val="0"/>
      <w:marTop w:val="0"/>
      <w:marBottom w:val="0"/>
      <w:divBdr>
        <w:top w:val="none" w:sz="0" w:space="0" w:color="auto"/>
        <w:left w:val="none" w:sz="0" w:space="0" w:color="auto"/>
        <w:bottom w:val="none" w:sz="0" w:space="0" w:color="auto"/>
        <w:right w:val="none" w:sz="0" w:space="0" w:color="auto"/>
      </w:divBdr>
    </w:div>
    <w:div w:id="771124171">
      <w:bodyDiv w:val="1"/>
      <w:marLeft w:val="0"/>
      <w:marRight w:val="0"/>
      <w:marTop w:val="0"/>
      <w:marBottom w:val="0"/>
      <w:divBdr>
        <w:top w:val="none" w:sz="0" w:space="0" w:color="auto"/>
        <w:left w:val="none" w:sz="0" w:space="0" w:color="auto"/>
        <w:bottom w:val="none" w:sz="0" w:space="0" w:color="auto"/>
        <w:right w:val="none" w:sz="0" w:space="0" w:color="auto"/>
      </w:divBdr>
    </w:div>
    <w:div w:id="835417460">
      <w:bodyDiv w:val="1"/>
      <w:marLeft w:val="0"/>
      <w:marRight w:val="0"/>
      <w:marTop w:val="0"/>
      <w:marBottom w:val="0"/>
      <w:divBdr>
        <w:top w:val="none" w:sz="0" w:space="0" w:color="auto"/>
        <w:left w:val="none" w:sz="0" w:space="0" w:color="auto"/>
        <w:bottom w:val="none" w:sz="0" w:space="0" w:color="auto"/>
        <w:right w:val="none" w:sz="0" w:space="0" w:color="auto"/>
      </w:divBdr>
    </w:div>
    <w:div w:id="855003663">
      <w:bodyDiv w:val="1"/>
      <w:marLeft w:val="0"/>
      <w:marRight w:val="0"/>
      <w:marTop w:val="0"/>
      <w:marBottom w:val="0"/>
      <w:divBdr>
        <w:top w:val="none" w:sz="0" w:space="0" w:color="auto"/>
        <w:left w:val="none" w:sz="0" w:space="0" w:color="auto"/>
        <w:bottom w:val="none" w:sz="0" w:space="0" w:color="auto"/>
        <w:right w:val="none" w:sz="0" w:space="0" w:color="auto"/>
      </w:divBdr>
    </w:div>
    <w:div w:id="879630034">
      <w:bodyDiv w:val="1"/>
      <w:marLeft w:val="0"/>
      <w:marRight w:val="0"/>
      <w:marTop w:val="0"/>
      <w:marBottom w:val="0"/>
      <w:divBdr>
        <w:top w:val="none" w:sz="0" w:space="0" w:color="auto"/>
        <w:left w:val="none" w:sz="0" w:space="0" w:color="auto"/>
        <w:bottom w:val="none" w:sz="0" w:space="0" w:color="auto"/>
        <w:right w:val="none" w:sz="0" w:space="0" w:color="auto"/>
      </w:divBdr>
    </w:div>
    <w:div w:id="952251918">
      <w:bodyDiv w:val="1"/>
      <w:marLeft w:val="0"/>
      <w:marRight w:val="0"/>
      <w:marTop w:val="0"/>
      <w:marBottom w:val="0"/>
      <w:divBdr>
        <w:top w:val="none" w:sz="0" w:space="0" w:color="auto"/>
        <w:left w:val="none" w:sz="0" w:space="0" w:color="auto"/>
        <w:bottom w:val="none" w:sz="0" w:space="0" w:color="auto"/>
        <w:right w:val="none" w:sz="0" w:space="0" w:color="auto"/>
      </w:divBdr>
    </w:div>
    <w:div w:id="966466917">
      <w:bodyDiv w:val="1"/>
      <w:marLeft w:val="0"/>
      <w:marRight w:val="0"/>
      <w:marTop w:val="0"/>
      <w:marBottom w:val="0"/>
      <w:divBdr>
        <w:top w:val="none" w:sz="0" w:space="0" w:color="auto"/>
        <w:left w:val="none" w:sz="0" w:space="0" w:color="auto"/>
        <w:bottom w:val="none" w:sz="0" w:space="0" w:color="auto"/>
        <w:right w:val="none" w:sz="0" w:space="0" w:color="auto"/>
      </w:divBdr>
    </w:div>
    <w:div w:id="981426321">
      <w:bodyDiv w:val="1"/>
      <w:marLeft w:val="0"/>
      <w:marRight w:val="0"/>
      <w:marTop w:val="0"/>
      <w:marBottom w:val="0"/>
      <w:divBdr>
        <w:top w:val="none" w:sz="0" w:space="0" w:color="auto"/>
        <w:left w:val="none" w:sz="0" w:space="0" w:color="auto"/>
        <w:bottom w:val="none" w:sz="0" w:space="0" w:color="auto"/>
        <w:right w:val="none" w:sz="0" w:space="0" w:color="auto"/>
      </w:divBdr>
    </w:div>
    <w:div w:id="998846002">
      <w:bodyDiv w:val="1"/>
      <w:marLeft w:val="0"/>
      <w:marRight w:val="0"/>
      <w:marTop w:val="0"/>
      <w:marBottom w:val="0"/>
      <w:divBdr>
        <w:top w:val="none" w:sz="0" w:space="0" w:color="auto"/>
        <w:left w:val="none" w:sz="0" w:space="0" w:color="auto"/>
        <w:bottom w:val="none" w:sz="0" w:space="0" w:color="auto"/>
        <w:right w:val="none" w:sz="0" w:space="0" w:color="auto"/>
      </w:divBdr>
    </w:div>
    <w:div w:id="1007175596">
      <w:bodyDiv w:val="1"/>
      <w:marLeft w:val="0"/>
      <w:marRight w:val="0"/>
      <w:marTop w:val="0"/>
      <w:marBottom w:val="0"/>
      <w:divBdr>
        <w:top w:val="none" w:sz="0" w:space="0" w:color="auto"/>
        <w:left w:val="none" w:sz="0" w:space="0" w:color="auto"/>
        <w:bottom w:val="none" w:sz="0" w:space="0" w:color="auto"/>
        <w:right w:val="none" w:sz="0" w:space="0" w:color="auto"/>
      </w:divBdr>
    </w:div>
    <w:div w:id="1080173929">
      <w:bodyDiv w:val="1"/>
      <w:marLeft w:val="0"/>
      <w:marRight w:val="0"/>
      <w:marTop w:val="0"/>
      <w:marBottom w:val="0"/>
      <w:divBdr>
        <w:top w:val="none" w:sz="0" w:space="0" w:color="auto"/>
        <w:left w:val="none" w:sz="0" w:space="0" w:color="auto"/>
        <w:bottom w:val="none" w:sz="0" w:space="0" w:color="auto"/>
        <w:right w:val="none" w:sz="0" w:space="0" w:color="auto"/>
      </w:divBdr>
    </w:div>
    <w:div w:id="1242763209">
      <w:bodyDiv w:val="1"/>
      <w:marLeft w:val="0"/>
      <w:marRight w:val="0"/>
      <w:marTop w:val="0"/>
      <w:marBottom w:val="0"/>
      <w:divBdr>
        <w:top w:val="none" w:sz="0" w:space="0" w:color="auto"/>
        <w:left w:val="none" w:sz="0" w:space="0" w:color="auto"/>
        <w:bottom w:val="none" w:sz="0" w:space="0" w:color="auto"/>
        <w:right w:val="none" w:sz="0" w:space="0" w:color="auto"/>
      </w:divBdr>
    </w:div>
    <w:div w:id="1265266632">
      <w:bodyDiv w:val="1"/>
      <w:marLeft w:val="0"/>
      <w:marRight w:val="0"/>
      <w:marTop w:val="0"/>
      <w:marBottom w:val="0"/>
      <w:divBdr>
        <w:top w:val="none" w:sz="0" w:space="0" w:color="auto"/>
        <w:left w:val="none" w:sz="0" w:space="0" w:color="auto"/>
        <w:bottom w:val="none" w:sz="0" w:space="0" w:color="auto"/>
        <w:right w:val="none" w:sz="0" w:space="0" w:color="auto"/>
      </w:divBdr>
    </w:div>
    <w:div w:id="1272081318">
      <w:bodyDiv w:val="1"/>
      <w:marLeft w:val="0"/>
      <w:marRight w:val="0"/>
      <w:marTop w:val="0"/>
      <w:marBottom w:val="0"/>
      <w:divBdr>
        <w:top w:val="none" w:sz="0" w:space="0" w:color="auto"/>
        <w:left w:val="none" w:sz="0" w:space="0" w:color="auto"/>
        <w:bottom w:val="none" w:sz="0" w:space="0" w:color="auto"/>
        <w:right w:val="none" w:sz="0" w:space="0" w:color="auto"/>
      </w:divBdr>
    </w:div>
    <w:div w:id="1282224877">
      <w:bodyDiv w:val="1"/>
      <w:marLeft w:val="0"/>
      <w:marRight w:val="0"/>
      <w:marTop w:val="0"/>
      <w:marBottom w:val="0"/>
      <w:divBdr>
        <w:top w:val="none" w:sz="0" w:space="0" w:color="auto"/>
        <w:left w:val="none" w:sz="0" w:space="0" w:color="auto"/>
        <w:bottom w:val="none" w:sz="0" w:space="0" w:color="auto"/>
        <w:right w:val="none" w:sz="0" w:space="0" w:color="auto"/>
      </w:divBdr>
    </w:div>
    <w:div w:id="1323004535">
      <w:bodyDiv w:val="1"/>
      <w:marLeft w:val="0"/>
      <w:marRight w:val="0"/>
      <w:marTop w:val="0"/>
      <w:marBottom w:val="0"/>
      <w:divBdr>
        <w:top w:val="none" w:sz="0" w:space="0" w:color="auto"/>
        <w:left w:val="none" w:sz="0" w:space="0" w:color="auto"/>
        <w:bottom w:val="none" w:sz="0" w:space="0" w:color="auto"/>
        <w:right w:val="none" w:sz="0" w:space="0" w:color="auto"/>
      </w:divBdr>
    </w:div>
    <w:div w:id="1341663676">
      <w:bodyDiv w:val="1"/>
      <w:marLeft w:val="0"/>
      <w:marRight w:val="0"/>
      <w:marTop w:val="0"/>
      <w:marBottom w:val="0"/>
      <w:divBdr>
        <w:top w:val="none" w:sz="0" w:space="0" w:color="auto"/>
        <w:left w:val="none" w:sz="0" w:space="0" w:color="auto"/>
        <w:bottom w:val="none" w:sz="0" w:space="0" w:color="auto"/>
        <w:right w:val="none" w:sz="0" w:space="0" w:color="auto"/>
      </w:divBdr>
    </w:div>
    <w:div w:id="1428848099">
      <w:bodyDiv w:val="1"/>
      <w:marLeft w:val="0"/>
      <w:marRight w:val="0"/>
      <w:marTop w:val="0"/>
      <w:marBottom w:val="0"/>
      <w:divBdr>
        <w:top w:val="none" w:sz="0" w:space="0" w:color="auto"/>
        <w:left w:val="none" w:sz="0" w:space="0" w:color="auto"/>
        <w:bottom w:val="none" w:sz="0" w:space="0" w:color="auto"/>
        <w:right w:val="none" w:sz="0" w:space="0" w:color="auto"/>
      </w:divBdr>
    </w:div>
    <w:div w:id="1444374081">
      <w:bodyDiv w:val="1"/>
      <w:marLeft w:val="0"/>
      <w:marRight w:val="0"/>
      <w:marTop w:val="0"/>
      <w:marBottom w:val="0"/>
      <w:divBdr>
        <w:top w:val="none" w:sz="0" w:space="0" w:color="auto"/>
        <w:left w:val="none" w:sz="0" w:space="0" w:color="auto"/>
        <w:bottom w:val="none" w:sz="0" w:space="0" w:color="auto"/>
        <w:right w:val="none" w:sz="0" w:space="0" w:color="auto"/>
      </w:divBdr>
    </w:div>
    <w:div w:id="1567106995">
      <w:bodyDiv w:val="1"/>
      <w:marLeft w:val="0"/>
      <w:marRight w:val="0"/>
      <w:marTop w:val="0"/>
      <w:marBottom w:val="0"/>
      <w:divBdr>
        <w:top w:val="none" w:sz="0" w:space="0" w:color="auto"/>
        <w:left w:val="none" w:sz="0" w:space="0" w:color="auto"/>
        <w:bottom w:val="none" w:sz="0" w:space="0" w:color="auto"/>
        <w:right w:val="none" w:sz="0" w:space="0" w:color="auto"/>
      </w:divBdr>
    </w:div>
    <w:div w:id="1594127094">
      <w:bodyDiv w:val="1"/>
      <w:marLeft w:val="0"/>
      <w:marRight w:val="0"/>
      <w:marTop w:val="0"/>
      <w:marBottom w:val="0"/>
      <w:divBdr>
        <w:top w:val="none" w:sz="0" w:space="0" w:color="auto"/>
        <w:left w:val="none" w:sz="0" w:space="0" w:color="auto"/>
        <w:bottom w:val="none" w:sz="0" w:space="0" w:color="auto"/>
        <w:right w:val="none" w:sz="0" w:space="0" w:color="auto"/>
      </w:divBdr>
    </w:div>
    <w:div w:id="1600211758">
      <w:bodyDiv w:val="1"/>
      <w:marLeft w:val="0"/>
      <w:marRight w:val="0"/>
      <w:marTop w:val="0"/>
      <w:marBottom w:val="0"/>
      <w:divBdr>
        <w:top w:val="none" w:sz="0" w:space="0" w:color="auto"/>
        <w:left w:val="none" w:sz="0" w:space="0" w:color="auto"/>
        <w:bottom w:val="none" w:sz="0" w:space="0" w:color="auto"/>
        <w:right w:val="none" w:sz="0" w:space="0" w:color="auto"/>
      </w:divBdr>
    </w:div>
    <w:div w:id="1612664716">
      <w:bodyDiv w:val="1"/>
      <w:marLeft w:val="0"/>
      <w:marRight w:val="0"/>
      <w:marTop w:val="0"/>
      <w:marBottom w:val="0"/>
      <w:divBdr>
        <w:top w:val="none" w:sz="0" w:space="0" w:color="auto"/>
        <w:left w:val="none" w:sz="0" w:space="0" w:color="auto"/>
        <w:bottom w:val="none" w:sz="0" w:space="0" w:color="auto"/>
        <w:right w:val="none" w:sz="0" w:space="0" w:color="auto"/>
      </w:divBdr>
    </w:div>
    <w:div w:id="1620792014">
      <w:bodyDiv w:val="1"/>
      <w:marLeft w:val="0"/>
      <w:marRight w:val="0"/>
      <w:marTop w:val="0"/>
      <w:marBottom w:val="0"/>
      <w:divBdr>
        <w:top w:val="none" w:sz="0" w:space="0" w:color="auto"/>
        <w:left w:val="none" w:sz="0" w:space="0" w:color="auto"/>
        <w:bottom w:val="none" w:sz="0" w:space="0" w:color="auto"/>
        <w:right w:val="none" w:sz="0" w:space="0" w:color="auto"/>
      </w:divBdr>
    </w:div>
    <w:div w:id="1644850717">
      <w:bodyDiv w:val="1"/>
      <w:marLeft w:val="0"/>
      <w:marRight w:val="0"/>
      <w:marTop w:val="0"/>
      <w:marBottom w:val="0"/>
      <w:divBdr>
        <w:top w:val="none" w:sz="0" w:space="0" w:color="auto"/>
        <w:left w:val="none" w:sz="0" w:space="0" w:color="auto"/>
        <w:bottom w:val="none" w:sz="0" w:space="0" w:color="auto"/>
        <w:right w:val="none" w:sz="0" w:space="0" w:color="auto"/>
      </w:divBdr>
    </w:div>
    <w:div w:id="1716461459">
      <w:bodyDiv w:val="1"/>
      <w:marLeft w:val="0"/>
      <w:marRight w:val="0"/>
      <w:marTop w:val="0"/>
      <w:marBottom w:val="0"/>
      <w:divBdr>
        <w:top w:val="none" w:sz="0" w:space="0" w:color="auto"/>
        <w:left w:val="none" w:sz="0" w:space="0" w:color="auto"/>
        <w:bottom w:val="none" w:sz="0" w:space="0" w:color="auto"/>
        <w:right w:val="none" w:sz="0" w:space="0" w:color="auto"/>
      </w:divBdr>
    </w:div>
    <w:div w:id="1722515060">
      <w:bodyDiv w:val="1"/>
      <w:marLeft w:val="0"/>
      <w:marRight w:val="0"/>
      <w:marTop w:val="0"/>
      <w:marBottom w:val="0"/>
      <w:divBdr>
        <w:top w:val="none" w:sz="0" w:space="0" w:color="auto"/>
        <w:left w:val="none" w:sz="0" w:space="0" w:color="auto"/>
        <w:bottom w:val="none" w:sz="0" w:space="0" w:color="auto"/>
        <w:right w:val="none" w:sz="0" w:space="0" w:color="auto"/>
      </w:divBdr>
    </w:div>
    <w:div w:id="1759061190">
      <w:bodyDiv w:val="1"/>
      <w:marLeft w:val="0"/>
      <w:marRight w:val="0"/>
      <w:marTop w:val="0"/>
      <w:marBottom w:val="0"/>
      <w:divBdr>
        <w:top w:val="none" w:sz="0" w:space="0" w:color="auto"/>
        <w:left w:val="none" w:sz="0" w:space="0" w:color="auto"/>
        <w:bottom w:val="none" w:sz="0" w:space="0" w:color="auto"/>
        <w:right w:val="none" w:sz="0" w:space="0" w:color="auto"/>
      </w:divBdr>
    </w:div>
    <w:div w:id="1810636368">
      <w:bodyDiv w:val="1"/>
      <w:marLeft w:val="0"/>
      <w:marRight w:val="0"/>
      <w:marTop w:val="0"/>
      <w:marBottom w:val="0"/>
      <w:divBdr>
        <w:top w:val="none" w:sz="0" w:space="0" w:color="auto"/>
        <w:left w:val="none" w:sz="0" w:space="0" w:color="auto"/>
        <w:bottom w:val="none" w:sz="0" w:space="0" w:color="auto"/>
        <w:right w:val="none" w:sz="0" w:space="0" w:color="auto"/>
      </w:divBdr>
    </w:div>
    <w:div w:id="1826774535">
      <w:bodyDiv w:val="1"/>
      <w:marLeft w:val="0"/>
      <w:marRight w:val="0"/>
      <w:marTop w:val="0"/>
      <w:marBottom w:val="0"/>
      <w:divBdr>
        <w:top w:val="none" w:sz="0" w:space="0" w:color="auto"/>
        <w:left w:val="none" w:sz="0" w:space="0" w:color="auto"/>
        <w:bottom w:val="none" w:sz="0" w:space="0" w:color="auto"/>
        <w:right w:val="none" w:sz="0" w:space="0" w:color="auto"/>
      </w:divBdr>
      <w:divsChild>
        <w:div w:id="1728650471">
          <w:marLeft w:val="446"/>
          <w:marRight w:val="0"/>
          <w:marTop w:val="0"/>
          <w:marBottom w:val="0"/>
          <w:divBdr>
            <w:top w:val="none" w:sz="0" w:space="0" w:color="auto"/>
            <w:left w:val="none" w:sz="0" w:space="0" w:color="auto"/>
            <w:bottom w:val="none" w:sz="0" w:space="0" w:color="auto"/>
            <w:right w:val="none" w:sz="0" w:space="0" w:color="auto"/>
          </w:divBdr>
        </w:div>
      </w:divsChild>
    </w:div>
    <w:div w:id="1843275820">
      <w:bodyDiv w:val="1"/>
      <w:marLeft w:val="0"/>
      <w:marRight w:val="0"/>
      <w:marTop w:val="0"/>
      <w:marBottom w:val="0"/>
      <w:divBdr>
        <w:top w:val="none" w:sz="0" w:space="0" w:color="auto"/>
        <w:left w:val="none" w:sz="0" w:space="0" w:color="auto"/>
        <w:bottom w:val="none" w:sz="0" w:space="0" w:color="auto"/>
        <w:right w:val="none" w:sz="0" w:space="0" w:color="auto"/>
      </w:divBdr>
    </w:div>
    <w:div w:id="1875463640">
      <w:bodyDiv w:val="1"/>
      <w:marLeft w:val="0"/>
      <w:marRight w:val="0"/>
      <w:marTop w:val="0"/>
      <w:marBottom w:val="0"/>
      <w:divBdr>
        <w:top w:val="none" w:sz="0" w:space="0" w:color="auto"/>
        <w:left w:val="none" w:sz="0" w:space="0" w:color="auto"/>
        <w:bottom w:val="none" w:sz="0" w:space="0" w:color="auto"/>
        <w:right w:val="none" w:sz="0" w:space="0" w:color="auto"/>
      </w:divBdr>
    </w:div>
    <w:div w:id="1894467383">
      <w:bodyDiv w:val="1"/>
      <w:marLeft w:val="0"/>
      <w:marRight w:val="0"/>
      <w:marTop w:val="0"/>
      <w:marBottom w:val="0"/>
      <w:divBdr>
        <w:top w:val="none" w:sz="0" w:space="0" w:color="auto"/>
        <w:left w:val="none" w:sz="0" w:space="0" w:color="auto"/>
        <w:bottom w:val="none" w:sz="0" w:space="0" w:color="auto"/>
        <w:right w:val="none" w:sz="0" w:space="0" w:color="auto"/>
      </w:divBdr>
    </w:div>
    <w:div w:id="1974403449">
      <w:bodyDiv w:val="1"/>
      <w:marLeft w:val="0"/>
      <w:marRight w:val="0"/>
      <w:marTop w:val="0"/>
      <w:marBottom w:val="0"/>
      <w:divBdr>
        <w:top w:val="none" w:sz="0" w:space="0" w:color="auto"/>
        <w:left w:val="none" w:sz="0" w:space="0" w:color="auto"/>
        <w:bottom w:val="none" w:sz="0" w:space="0" w:color="auto"/>
        <w:right w:val="none" w:sz="0" w:space="0" w:color="auto"/>
      </w:divBdr>
    </w:div>
    <w:div w:id="2008315951">
      <w:bodyDiv w:val="1"/>
      <w:marLeft w:val="0"/>
      <w:marRight w:val="0"/>
      <w:marTop w:val="0"/>
      <w:marBottom w:val="0"/>
      <w:divBdr>
        <w:top w:val="none" w:sz="0" w:space="0" w:color="auto"/>
        <w:left w:val="none" w:sz="0" w:space="0" w:color="auto"/>
        <w:bottom w:val="none" w:sz="0" w:space="0" w:color="auto"/>
        <w:right w:val="none" w:sz="0" w:space="0" w:color="auto"/>
      </w:divBdr>
    </w:div>
    <w:div w:id="2029017191">
      <w:bodyDiv w:val="1"/>
      <w:marLeft w:val="0"/>
      <w:marRight w:val="0"/>
      <w:marTop w:val="0"/>
      <w:marBottom w:val="0"/>
      <w:divBdr>
        <w:top w:val="none" w:sz="0" w:space="0" w:color="auto"/>
        <w:left w:val="none" w:sz="0" w:space="0" w:color="auto"/>
        <w:bottom w:val="none" w:sz="0" w:space="0" w:color="auto"/>
        <w:right w:val="none" w:sz="0" w:space="0" w:color="auto"/>
      </w:divBdr>
    </w:div>
    <w:div w:id="2035767378">
      <w:bodyDiv w:val="1"/>
      <w:marLeft w:val="0"/>
      <w:marRight w:val="0"/>
      <w:marTop w:val="0"/>
      <w:marBottom w:val="0"/>
      <w:divBdr>
        <w:top w:val="none" w:sz="0" w:space="0" w:color="auto"/>
        <w:left w:val="none" w:sz="0" w:space="0" w:color="auto"/>
        <w:bottom w:val="none" w:sz="0" w:space="0" w:color="auto"/>
        <w:right w:val="none" w:sz="0" w:space="0" w:color="auto"/>
      </w:divBdr>
    </w:div>
    <w:div w:id="2132504951">
      <w:bodyDiv w:val="1"/>
      <w:marLeft w:val="0"/>
      <w:marRight w:val="0"/>
      <w:marTop w:val="0"/>
      <w:marBottom w:val="0"/>
      <w:divBdr>
        <w:top w:val="none" w:sz="0" w:space="0" w:color="auto"/>
        <w:left w:val="none" w:sz="0" w:space="0" w:color="auto"/>
        <w:bottom w:val="none" w:sz="0" w:space="0" w:color="auto"/>
        <w:right w:val="none" w:sz="0" w:space="0" w:color="auto"/>
      </w:divBdr>
    </w:div>
    <w:div w:id="2134208247">
      <w:bodyDiv w:val="1"/>
      <w:marLeft w:val="0"/>
      <w:marRight w:val="0"/>
      <w:marTop w:val="0"/>
      <w:marBottom w:val="0"/>
      <w:divBdr>
        <w:top w:val="none" w:sz="0" w:space="0" w:color="auto"/>
        <w:left w:val="none" w:sz="0" w:space="0" w:color="auto"/>
        <w:bottom w:val="none" w:sz="0" w:space="0" w:color="auto"/>
        <w:right w:val="none" w:sz="0" w:space="0" w:color="auto"/>
      </w:divBdr>
    </w:div>
    <w:div w:id="21404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sseti.ru/" TargetMode="External"/><Relationship Id="rId4" Type="http://schemas.openxmlformats.org/officeDocument/2006/relationships/settings" Target="settings.xml"/><Relationship Id="rId9" Type="http://schemas.openxmlformats.org/officeDocument/2006/relationships/hyperlink" Target="http://www.morningstar.co.uk/uk/NS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F5A2A-9131-40E9-A9F1-8EE30D67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1053</Words>
  <Characters>6006</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Мартынова Юлия Сергеевна</cp:lastModifiedBy>
  <cp:revision>15</cp:revision>
  <cp:lastPrinted>2019-08-27T10:08:00Z</cp:lastPrinted>
  <dcterms:created xsi:type="dcterms:W3CDTF">2019-08-27T06:46:00Z</dcterms:created>
  <dcterms:modified xsi:type="dcterms:W3CDTF">2019-08-28T14:37:00Z</dcterms:modified>
</cp:coreProperties>
</file>