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CB" w:rsidRDefault="009C2CCB" w:rsidP="009C2CCB">
      <w:pPr>
        <w:widowControl w:val="0"/>
        <w:rPr>
          <w:b/>
          <w:sz w:val="28"/>
          <w:szCs w:val="26"/>
        </w:rPr>
      </w:pPr>
      <w:r>
        <w:rPr>
          <w:b/>
          <w:sz w:val="28"/>
          <w:szCs w:val="26"/>
          <w:lang w:val="en-US"/>
        </w:rPr>
        <w:t>III</w:t>
      </w:r>
      <w:r w:rsidRPr="00DB7A6A">
        <w:rPr>
          <w:b/>
          <w:sz w:val="28"/>
          <w:szCs w:val="26"/>
        </w:rPr>
        <w:t>.2</w:t>
      </w:r>
      <w:r>
        <w:rPr>
          <w:b/>
          <w:sz w:val="28"/>
          <w:szCs w:val="26"/>
        </w:rPr>
        <w:t>.</w:t>
      </w:r>
      <w:r w:rsidRPr="00DB7A6A">
        <w:rPr>
          <w:b/>
          <w:sz w:val="28"/>
          <w:szCs w:val="26"/>
        </w:rPr>
        <w:t xml:space="preserve"> </w:t>
      </w:r>
      <w:r w:rsidRPr="001241DB">
        <w:rPr>
          <w:b/>
          <w:sz w:val="28"/>
          <w:szCs w:val="26"/>
        </w:rPr>
        <w:t>Изменения, связанные с формированием КО ценовой заявки на планирование производства в отношении ГТП генерации, по которой отсутствует ценовая заявка</w:t>
      </w:r>
      <w:r>
        <w:rPr>
          <w:b/>
          <w:sz w:val="28"/>
          <w:szCs w:val="26"/>
        </w:rPr>
        <w:t>, поданная у</w:t>
      </w:r>
      <w:r w:rsidRPr="001241DB">
        <w:rPr>
          <w:b/>
          <w:sz w:val="28"/>
          <w:szCs w:val="26"/>
        </w:rPr>
        <w:t>частником</w:t>
      </w:r>
    </w:p>
    <w:p w:rsidR="009C2CCB" w:rsidRDefault="009C2CCB" w:rsidP="009C2CCB">
      <w:pPr>
        <w:widowControl w:val="0"/>
        <w:jc w:val="both"/>
        <w:rPr>
          <w:b/>
          <w:sz w:val="28"/>
          <w:szCs w:val="26"/>
        </w:rPr>
      </w:pPr>
    </w:p>
    <w:p w:rsidR="009C2CCB" w:rsidRPr="00DB7A6A" w:rsidRDefault="009C2CCB" w:rsidP="009C2CCB">
      <w:pPr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6"/>
        </w:rPr>
        <w:t xml:space="preserve">Приложение </w:t>
      </w:r>
      <w:r>
        <w:rPr>
          <w:rFonts w:cs="Garamond"/>
          <w:b/>
          <w:bCs/>
          <w:sz w:val="26"/>
          <w:szCs w:val="26"/>
        </w:rPr>
        <w:t xml:space="preserve">№ </w:t>
      </w:r>
      <w:r>
        <w:rPr>
          <w:b/>
          <w:sz w:val="28"/>
          <w:szCs w:val="26"/>
        </w:rPr>
        <w:t>3.2</w:t>
      </w:r>
    </w:p>
    <w:p w:rsidR="001241DB" w:rsidRDefault="001241DB" w:rsidP="001241DB">
      <w:pPr>
        <w:ind w:right="-10"/>
        <w:jc w:val="right"/>
        <w:rPr>
          <w:b/>
          <w:sz w:val="28"/>
          <w:szCs w:val="28"/>
        </w:rPr>
      </w:pPr>
    </w:p>
    <w:p w:rsidR="009C2CCB" w:rsidRPr="00AE4133" w:rsidRDefault="009C2CCB" w:rsidP="009C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Инициатор: </w:t>
      </w:r>
      <w:r w:rsidRPr="00AE4133">
        <w:rPr>
          <w:sz w:val="24"/>
          <w:szCs w:val="24"/>
        </w:rPr>
        <w:t>АО «АТС».</w:t>
      </w:r>
    </w:p>
    <w:p w:rsidR="009C2CCB" w:rsidRDefault="009C2CCB" w:rsidP="009C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Обоснование: </w:t>
      </w:r>
      <w:r>
        <w:rPr>
          <w:sz w:val="24"/>
          <w:szCs w:val="24"/>
        </w:rPr>
        <w:t>на  заседании Наблюдательного совета</w:t>
      </w:r>
      <w:r w:rsidRPr="00F67F4F">
        <w:rPr>
          <w:sz w:val="24"/>
          <w:szCs w:val="24"/>
        </w:rPr>
        <w:t xml:space="preserve"> Ассоциации </w:t>
      </w:r>
      <w:r>
        <w:rPr>
          <w:sz w:val="24"/>
          <w:szCs w:val="24"/>
        </w:rPr>
        <w:t>«НП Совет рынка» от 17 марта 2022 года в рамках Вопроса 2 «</w:t>
      </w:r>
      <w:r w:rsidRPr="0028202D">
        <w:rPr>
          <w:sz w:val="24"/>
          <w:szCs w:val="24"/>
        </w:rPr>
        <w:t>Об изменениях и дополнениях к Договору о присоединении к торговой системе оптового рынка</w:t>
      </w:r>
      <w:r>
        <w:rPr>
          <w:sz w:val="24"/>
          <w:szCs w:val="24"/>
        </w:rPr>
        <w:t xml:space="preserve">» правка </w:t>
      </w:r>
      <w:r w:rsidRPr="00DC4458">
        <w:rPr>
          <w:sz w:val="24"/>
          <w:szCs w:val="24"/>
        </w:rPr>
        <w:t>V</w:t>
      </w:r>
      <w:r w:rsidRPr="00AD7BF8">
        <w:rPr>
          <w:sz w:val="24"/>
          <w:szCs w:val="24"/>
        </w:rPr>
        <w:t xml:space="preserve">.2. </w:t>
      </w:r>
      <w:r>
        <w:rPr>
          <w:sz w:val="24"/>
          <w:szCs w:val="24"/>
        </w:rPr>
        <w:t>«</w:t>
      </w:r>
      <w:r w:rsidRPr="00DC4458">
        <w:rPr>
          <w:sz w:val="24"/>
          <w:szCs w:val="24"/>
        </w:rPr>
        <w:t>Изменения, связанные с обеспечением проведения финансовых расчетов</w:t>
      </w:r>
      <w:r>
        <w:rPr>
          <w:sz w:val="24"/>
          <w:szCs w:val="24"/>
        </w:rPr>
        <w:t>»</w:t>
      </w:r>
      <w:r w:rsidRPr="00DC44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были приняты изменения в Регламент проведения конкурентного отбора ценовых заявок на сутки вперед (Приложение № 7 к Договору о присоединении к торговой системе оптового рынка), уточняющие порядок действий КО в случае отсутствия в </w:t>
      </w:r>
      <w:r w:rsidR="00556EF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отношении ГТП генерации поданной ценовой заявки на планирование объемов производства электрической энергии. Срок действия указанных изменений </w:t>
      </w:r>
      <w:r w:rsidR="00CB4D84">
        <w:rPr>
          <w:sz w:val="24"/>
          <w:szCs w:val="24"/>
        </w:rPr>
        <w:t>–</w:t>
      </w:r>
      <w:r w:rsidR="00CB4D84">
        <w:rPr>
          <w:sz w:val="24"/>
          <w:szCs w:val="24"/>
        </w:rPr>
        <w:t xml:space="preserve"> </w:t>
      </w:r>
      <w:r w:rsidRPr="0028202D">
        <w:rPr>
          <w:sz w:val="24"/>
          <w:szCs w:val="24"/>
        </w:rPr>
        <w:t>c</w:t>
      </w:r>
      <w:r w:rsidRPr="000B62ED">
        <w:rPr>
          <w:sz w:val="24"/>
          <w:szCs w:val="24"/>
        </w:rPr>
        <w:t xml:space="preserve"> 1 </w:t>
      </w:r>
      <w:r>
        <w:rPr>
          <w:sz w:val="24"/>
          <w:szCs w:val="24"/>
        </w:rPr>
        <w:t xml:space="preserve">апреля по 30 сентября 2022 года. Предлагается принять данные изменения без ограничения срока действия. </w:t>
      </w:r>
    </w:p>
    <w:p w:rsidR="009C2CCB" w:rsidRDefault="009C2CCB" w:rsidP="009C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jc w:val="both"/>
        <w:rPr>
          <w:sz w:val="24"/>
          <w:szCs w:val="24"/>
        </w:rPr>
      </w:pPr>
      <w:r>
        <w:rPr>
          <w:rFonts w:cs="Garamond"/>
          <w:b/>
          <w:bCs/>
          <w:sz w:val="24"/>
          <w:szCs w:val="24"/>
        </w:rPr>
        <w:t xml:space="preserve">Дата вступления в силу: </w:t>
      </w:r>
      <w:r>
        <w:rPr>
          <w:sz w:val="24"/>
          <w:szCs w:val="24"/>
        </w:rPr>
        <w:t>с 1 октября 2022 года. 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</w:r>
    </w:p>
    <w:p w:rsidR="001241DB" w:rsidRDefault="001241DB" w:rsidP="001241DB">
      <w:pPr>
        <w:widowControl w:val="0"/>
        <w:outlineLvl w:val="1"/>
        <w:rPr>
          <w:rFonts w:eastAsia="Batang"/>
          <w:b/>
          <w:bCs/>
          <w:sz w:val="24"/>
          <w:szCs w:val="24"/>
        </w:rPr>
      </w:pPr>
    </w:p>
    <w:p w:rsidR="001241DB" w:rsidRDefault="001241DB" w:rsidP="001241DB">
      <w:pPr>
        <w:rPr>
          <w:rFonts w:eastAsia="Calibri" w:cs="Garamond"/>
          <w:b/>
          <w:bCs/>
          <w:sz w:val="26"/>
          <w:szCs w:val="26"/>
        </w:rPr>
      </w:pPr>
      <w:r>
        <w:rPr>
          <w:rFonts w:cs="Garamond"/>
          <w:b/>
          <w:bCs/>
          <w:sz w:val="26"/>
          <w:szCs w:val="26"/>
        </w:rPr>
        <w:t>Предложения по изменениям и дополнениям в РЕГЛАМЕНТ ПРОВЕДЕНИЯ КОНКУРЕНТНОГО ОТБОРА ЦЕНОВЫХ ЗАЯВОК НА СУТКИ ВПЕРЕД (Приложение № 7 к Договору о присоединении к торговой системе оптового рынка)</w:t>
      </w:r>
    </w:p>
    <w:p w:rsidR="001241DB" w:rsidRDefault="001241DB" w:rsidP="001241DB">
      <w:pPr>
        <w:rPr>
          <w:rFonts w:cs="Garamond"/>
          <w:b/>
          <w:bCs/>
          <w:sz w:val="24"/>
          <w:szCs w:val="24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"/>
        <w:gridCol w:w="7149"/>
        <w:gridCol w:w="6946"/>
      </w:tblGrid>
      <w:tr w:rsidR="001241DB" w:rsidTr="001241DB">
        <w:trPr>
          <w:trHeight w:val="43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1DB" w:rsidRDefault="001241DB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</w:rPr>
              <w:t xml:space="preserve">№ </w:t>
            </w:r>
          </w:p>
          <w:p w:rsidR="001241DB" w:rsidRDefault="001241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пункта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1DB" w:rsidRDefault="001241DB">
            <w:pPr>
              <w:widowControl w:val="0"/>
              <w:jc w:val="center"/>
              <w:rPr>
                <w:rFonts w:cs="Garamond"/>
                <w:b/>
                <w:bCs/>
              </w:rPr>
            </w:pPr>
            <w:r>
              <w:rPr>
                <w:rFonts w:cs="Garamond"/>
                <w:b/>
                <w:bCs/>
              </w:rPr>
              <w:t>Редакция, действующая на момент</w:t>
            </w:r>
          </w:p>
          <w:p w:rsidR="001241DB" w:rsidRDefault="001241DB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b/>
              </w:rPr>
            </w:pPr>
            <w:r>
              <w:rPr>
                <w:rFonts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1DB" w:rsidRDefault="001241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Предлагаемая редакция</w:t>
            </w:r>
          </w:p>
          <w:p w:rsidR="001241DB" w:rsidRDefault="001241DB">
            <w:pPr>
              <w:widowControl w:val="0"/>
              <w:jc w:val="center"/>
            </w:pPr>
            <w:r>
              <w:t>(изменения выделены цветом)</w:t>
            </w:r>
          </w:p>
        </w:tc>
      </w:tr>
      <w:tr w:rsidR="001241DB" w:rsidTr="001241DB">
        <w:trPr>
          <w:trHeight w:val="43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1DB" w:rsidRDefault="001241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4, п. 8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1DB" w:rsidRDefault="001241DB">
            <w:pPr>
              <w:widowControl w:val="0"/>
              <w:spacing w:before="120" w:after="120"/>
              <w:jc w:val="both"/>
              <w:rPr>
                <w:rFonts w:cs="Garamond"/>
                <w:bCs/>
              </w:rPr>
            </w:pPr>
            <w:r w:rsidRPr="00B63C2F">
              <w:rPr>
                <w:color w:val="000000"/>
                <w:highlight w:val="yellow"/>
              </w:rPr>
              <w:t xml:space="preserve">для </w:t>
            </w:r>
            <w:r w:rsidRPr="00DE2873">
              <w:rPr>
                <w:color w:val="000000"/>
                <w:highlight w:val="yellow"/>
              </w:rPr>
              <w:t xml:space="preserve">поставщиков, не подавших заявки на продажу на рассматриваемые торговые сутки по некоторой ГТП генерации, формирует модельную </w:t>
            </w:r>
            <w:proofErr w:type="spellStart"/>
            <w:r w:rsidRPr="00DE2873">
              <w:rPr>
                <w:color w:val="000000"/>
                <w:highlight w:val="yellow"/>
              </w:rPr>
              <w:t>ценопринимающую</w:t>
            </w:r>
            <w:proofErr w:type="spellEnd"/>
            <w:r w:rsidRPr="00DE2873">
              <w:rPr>
                <w:color w:val="000000"/>
                <w:highlight w:val="yellow"/>
              </w:rPr>
              <w:t xml:space="preserve"> заявку в соответствии с </w:t>
            </w:r>
            <w:r w:rsidRPr="00DE2873">
              <w:rPr>
                <w:i/>
                <w:color w:val="000000"/>
                <w:highlight w:val="yellow"/>
              </w:rPr>
              <w:t>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</w:t>
            </w:r>
            <w:r w:rsidRPr="00DE2873">
              <w:rPr>
                <w:color w:val="000000"/>
                <w:highlight w:val="yellow"/>
              </w:rPr>
              <w:t>;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42F" w:rsidRPr="009C2CCB" w:rsidRDefault="001241DB">
            <w:pPr>
              <w:widowControl w:val="0"/>
              <w:spacing w:before="120" w:after="120"/>
              <w:jc w:val="both"/>
              <w:rPr>
                <w:highlight w:val="yellow"/>
              </w:rPr>
            </w:pPr>
            <w:r w:rsidRPr="00B63C2F">
              <w:rPr>
                <w:highlight w:val="yellow"/>
              </w:rPr>
              <w:t>В случае если по состоянию на 13 часов 30 минут по времени ценовой зоны торговых суток (</w:t>
            </w:r>
            <w:r w:rsidRPr="00B63C2F">
              <w:rPr>
                <w:color w:val="000000"/>
                <w:highlight w:val="yellow"/>
              </w:rPr>
              <w:t>в случае если</w:t>
            </w:r>
            <w:r w:rsidRPr="00B63C2F">
              <w:rPr>
                <w:highlight w:val="yellow"/>
              </w:rPr>
              <w:t xml:space="preserve"> события, указанные в п. 6.2.6 </w:t>
            </w:r>
            <w:r w:rsidRPr="009C2CCB">
              <w:rPr>
                <w:i/>
                <w:highlight w:val="yellow"/>
              </w:rPr>
              <w:t xml:space="preserve">Регламента подачи ценовых заявок участниками оптового рынка </w:t>
            </w:r>
            <w:r w:rsidRPr="009C2CCB">
              <w:rPr>
                <w:color w:val="000000"/>
                <w:highlight w:val="yellow"/>
              </w:rPr>
              <w:t xml:space="preserve">(Приложение № 5 к </w:t>
            </w:r>
            <w:r w:rsidRPr="009C2CCB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9C2CCB">
              <w:rPr>
                <w:color w:val="000000"/>
                <w:highlight w:val="yellow"/>
              </w:rPr>
              <w:t>), не наступили</w:t>
            </w:r>
            <w:r w:rsidRPr="009C2CCB">
              <w:rPr>
                <w:highlight w:val="yellow"/>
              </w:rPr>
              <w:t>) или по состоянию на 15 часов 30 минут по времени ценовой зоны торговых суток (</w:t>
            </w:r>
            <w:r w:rsidRPr="009C2CCB">
              <w:rPr>
                <w:color w:val="000000"/>
                <w:highlight w:val="yellow"/>
              </w:rPr>
              <w:t xml:space="preserve">в случае </w:t>
            </w:r>
            <w:r w:rsidRPr="009C2CCB">
              <w:rPr>
                <w:highlight w:val="yellow"/>
              </w:rPr>
              <w:t xml:space="preserve">наступления событий, указанных в п. 6.2.6 </w:t>
            </w:r>
            <w:r w:rsidRPr="009C2CCB">
              <w:rPr>
                <w:i/>
                <w:highlight w:val="yellow"/>
              </w:rPr>
              <w:t xml:space="preserve">Регламента подачи ценовых заявок участниками оптового рынка </w:t>
            </w:r>
            <w:r w:rsidRPr="009C2CCB">
              <w:rPr>
                <w:color w:val="000000"/>
                <w:highlight w:val="yellow"/>
              </w:rPr>
              <w:t xml:space="preserve">(Приложение № 5 к </w:t>
            </w:r>
            <w:r w:rsidRPr="009C2CCB">
              <w:rPr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9C2CCB">
              <w:rPr>
                <w:color w:val="000000"/>
                <w:highlight w:val="yellow"/>
              </w:rPr>
              <w:t>)</w:t>
            </w:r>
            <w:r w:rsidRPr="009C2CCB">
              <w:rPr>
                <w:highlight w:val="yellow"/>
              </w:rPr>
              <w:t xml:space="preserve">) в отношении ГТП генерации отсутствует ценовая заявка на планирование объемов производства электрической энергии, допущенная в соответствии с </w:t>
            </w:r>
            <w:r w:rsidRPr="009C2CCB">
              <w:rPr>
                <w:i/>
                <w:highlight w:val="yellow"/>
              </w:rPr>
              <w:t>Регламентом подачи ценовых заявок участниками оптового рынка</w:t>
            </w:r>
            <w:r w:rsidRPr="009C2CCB">
              <w:rPr>
                <w:highlight w:val="yellow"/>
              </w:rPr>
              <w:t xml:space="preserve"> (Приложение № 5 к </w:t>
            </w:r>
            <w:r w:rsidRPr="009C2CCB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9C2CCB">
              <w:rPr>
                <w:highlight w:val="yellow"/>
              </w:rPr>
              <w:t>) до участия в процедуре конкурентного отбора ценовых заявок на сутки вперед, то</w:t>
            </w:r>
            <w:r w:rsidR="001E542F" w:rsidRPr="009C2CCB">
              <w:rPr>
                <w:highlight w:val="yellow"/>
              </w:rPr>
              <w:t xml:space="preserve"> </w:t>
            </w:r>
            <w:r w:rsidR="00CC62E1" w:rsidRPr="009C2CCB">
              <w:rPr>
                <w:highlight w:val="yellow"/>
              </w:rPr>
              <w:t>КО</w:t>
            </w:r>
            <w:r w:rsidR="001E542F" w:rsidRPr="009C2CCB">
              <w:rPr>
                <w:highlight w:val="yellow"/>
              </w:rPr>
              <w:t>:</w:t>
            </w:r>
            <w:r w:rsidR="00CC62E1" w:rsidRPr="009C2CCB">
              <w:rPr>
                <w:highlight w:val="yellow"/>
              </w:rPr>
              <w:t xml:space="preserve"> </w:t>
            </w:r>
          </w:p>
          <w:p w:rsidR="001E542F" w:rsidRPr="009C2CCB" w:rsidRDefault="001E542F" w:rsidP="00CC62E1">
            <w:pPr>
              <w:pStyle w:val="a5"/>
              <w:widowControl w:val="0"/>
              <w:numPr>
                <w:ilvl w:val="0"/>
                <w:numId w:val="1"/>
              </w:numPr>
              <w:spacing w:before="120" w:after="120"/>
              <w:jc w:val="both"/>
              <w:rPr>
                <w:highlight w:val="yellow"/>
              </w:rPr>
            </w:pPr>
            <w:r w:rsidRPr="009C2CCB">
              <w:rPr>
                <w:highlight w:val="yellow"/>
              </w:rPr>
              <w:lastRenderedPageBreak/>
              <w:t xml:space="preserve">в отношении ГТП генерации ТЭС или </w:t>
            </w:r>
            <w:r w:rsidRPr="00FF1A39">
              <w:rPr>
                <w:szCs w:val="22"/>
                <w:highlight w:val="yellow"/>
              </w:rPr>
              <w:t>АЭС</w:t>
            </w:r>
            <w:r w:rsidR="00FF1A39" w:rsidRPr="00FF1A39">
              <w:rPr>
                <w:szCs w:val="22"/>
                <w:highlight w:val="yellow"/>
              </w:rPr>
              <w:t xml:space="preserve"> </w:t>
            </w:r>
            <w:r w:rsidR="00FF1A39" w:rsidRPr="00FF1A39">
              <w:rPr>
                <w:szCs w:val="22"/>
                <w:highlight w:val="yellow"/>
              </w:rPr>
              <w:t>–</w:t>
            </w:r>
            <w:r w:rsidRPr="009C2CCB">
              <w:rPr>
                <w:highlight w:val="yellow"/>
              </w:rPr>
              <w:t xml:space="preserve"> </w:t>
            </w:r>
            <w:r w:rsidR="001241DB" w:rsidRPr="009C2CCB">
              <w:rPr>
                <w:highlight w:val="yellow"/>
              </w:rPr>
              <w:t>формирует ценов</w:t>
            </w:r>
            <w:r w:rsidR="00CC62E1" w:rsidRPr="009C2CCB">
              <w:rPr>
                <w:highlight w:val="yellow"/>
              </w:rPr>
              <w:t>ую</w:t>
            </w:r>
            <w:r w:rsidR="001241DB" w:rsidRPr="009C2CCB">
              <w:rPr>
                <w:highlight w:val="yellow"/>
              </w:rPr>
              <w:t xml:space="preserve"> заявк</w:t>
            </w:r>
            <w:r w:rsidR="00CC62E1" w:rsidRPr="009C2CCB">
              <w:rPr>
                <w:highlight w:val="yellow"/>
              </w:rPr>
              <w:t>у</w:t>
            </w:r>
            <w:r w:rsidR="001241DB" w:rsidRPr="009C2CCB">
              <w:rPr>
                <w:highlight w:val="yellow"/>
              </w:rPr>
              <w:t xml:space="preserve"> на планирование объемов производства электрической энергии, состоящ</w:t>
            </w:r>
            <w:r w:rsidR="00CC62E1" w:rsidRPr="009C2CCB">
              <w:rPr>
                <w:highlight w:val="yellow"/>
              </w:rPr>
              <w:t>ую</w:t>
            </w:r>
            <w:r w:rsidR="001241DB" w:rsidRPr="009C2CCB">
              <w:rPr>
                <w:highlight w:val="yellow"/>
              </w:rPr>
              <w:t xml:space="preserve"> из 24 почасовых </w:t>
            </w:r>
            <w:proofErr w:type="spellStart"/>
            <w:r w:rsidR="001241DB" w:rsidRPr="009C2CCB">
              <w:rPr>
                <w:highlight w:val="yellow"/>
              </w:rPr>
              <w:t>подзаявок</w:t>
            </w:r>
            <w:proofErr w:type="spellEnd"/>
            <w:r w:rsidR="001241DB" w:rsidRPr="009C2CCB">
              <w:rPr>
                <w:highlight w:val="yellow"/>
              </w:rPr>
              <w:t>, каждая из которых, в свою очередь, состоит из одной пары &lt;цена</w:t>
            </w:r>
            <w:r w:rsidR="001241DB" w:rsidRPr="009C2CCB">
              <w:rPr>
                <w:bCs/>
                <w:iCs/>
                <w:color w:val="000000"/>
                <w:highlight w:val="yellow"/>
              </w:rPr>
              <w:t>–</w:t>
            </w:r>
            <w:r w:rsidR="001241DB" w:rsidRPr="009C2CCB">
              <w:rPr>
                <w:highlight w:val="yellow"/>
              </w:rPr>
              <w:t xml:space="preserve">количество&gt;, в которой значение количества принимается равным суммарному по всем ЕГО объему установленной мощности, а значение цены принимается равным величине </w:t>
            </w:r>
            <w:proofErr w:type="spellStart"/>
            <w:r w:rsidR="001241DB" w:rsidRPr="009C2CCB">
              <w:rPr>
                <w:i/>
                <w:highlight w:val="yellow"/>
              </w:rPr>
              <w:t>Тээ</w:t>
            </w:r>
            <w:proofErr w:type="spellEnd"/>
            <w:r w:rsidR="001241DB" w:rsidRPr="009C2CCB">
              <w:rPr>
                <w:highlight w:val="yellow"/>
              </w:rPr>
              <w:t xml:space="preserve">, определенной в отношении данной ГТП генерации в соответствии </w:t>
            </w:r>
            <w:r w:rsidR="001241DB" w:rsidRPr="009C2CCB">
              <w:rPr>
                <w:color w:val="000000"/>
                <w:highlight w:val="yellow"/>
              </w:rPr>
              <w:t>с подпунктом «</w:t>
            </w:r>
            <w:r w:rsidR="001241DB" w:rsidRPr="009C2CCB">
              <w:rPr>
                <w:i/>
                <w:color w:val="000000"/>
                <w:highlight w:val="yellow"/>
                <w:lang w:val="en-US"/>
              </w:rPr>
              <w:t>g</w:t>
            </w:r>
            <w:r w:rsidR="001241DB" w:rsidRPr="009C2CCB">
              <w:rPr>
                <w:color w:val="000000"/>
                <w:highlight w:val="yellow"/>
              </w:rPr>
              <w:t>» п. 1.1 приложения 1 к настоящему Регламенту</w:t>
            </w:r>
            <w:r w:rsidR="001241DB" w:rsidRPr="009C2CCB">
              <w:rPr>
                <w:highlight w:val="yellow"/>
              </w:rPr>
              <w:t xml:space="preserve">. При этом в отношении такой ценовой заявки КО устанавливает указание на осуществление купли-продажи электроэнергии по модифицированным ценовым заявкам с учетом </w:t>
            </w:r>
            <w:proofErr w:type="spellStart"/>
            <w:r w:rsidR="001241DB" w:rsidRPr="009C2CCB">
              <w:rPr>
                <w:i/>
                <w:highlight w:val="yellow"/>
              </w:rPr>
              <w:t>Pmax</w:t>
            </w:r>
            <w:proofErr w:type="spellEnd"/>
            <w:r w:rsidR="001241DB" w:rsidRPr="009C2CCB">
              <w:rPr>
                <w:highlight w:val="yellow"/>
              </w:rPr>
              <w:t>. Участники оптового рынка выражают свое безусловное согласие с таким фо</w:t>
            </w:r>
            <w:r w:rsidRPr="009C2CCB">
              <w:rPr>
                <w:highlight w:val="yellow"/>
              </w:rPr>
              <w:t>рмированием указанных заявок;</w:t>
            </w:r>
          </w:p>
          <w:p w:rsidR="00CC62E1" w:rsidRPr="009C2CCB" w:rsidRDefault="001E542F" w:rsidP="001E542F">
            <w:pPr>
              <w:pStyle w:val="a5"/>
              <w:widowControl w:val="0"/>
              <w:numPr>
                <w:ilvl w:val="0"/>
                <w:numId w:val="1"/>
              </w:numPr>
              <w:spacing w:before="120" w:after="120"/>
              <w:jc w:val="both"/>
              <w:rPr>
                <w:highlight w:val="yellow"/>
              </w:rPr>
            </w:pPr>
            <w:r w:rsidRPr="00B63C2F">
              <w:rPr>
                <w:color w:val="000000"/>
                <w:highlight w:val="yellow"/>
              </w:rPr>
              <w:t>д</w:t>
            </w:r>
            <w:r w:rsidR="00CC62E1" w:rsidRPr="00B63C2F">
              <w:rPr>
                <w:color w:val="000000"/>
                <w:highlight w:val="yellow"/>
              </w:rPr>
              <w:t xml:space="preserve">ля иных поставщиков (за исключением </w:t>
            </w:r>
            <w:r w:rsidR="00CC62E1" w:rsidRPr="00B63C2F">
              <w:rPr>
                <w:highlight w:val="yellow"/>
              </w:rPr>
              <w:t>ГТП генерации ГЭС</w:t>
            </w:r>
            <w:r w:rsidR="00CC62E1" w:rsidRPr="00B63C2F">
              <w:rPr>
                <w:color w:val="000000"/>
                <w:highlight w:val="yellow"/>
              </w:rPr>
              <w:t>)</w:t>
            </w:r>
            <w:r w:rsidR="00FF1A39">
              <w:rPr>
                <w:color w:val="000000"/>
                <w:highlight w:val="yellow"/>
              </w:rPr>
              <w:t xml:space="preserve"> </w:t>
            </w:r>
            <w:r w:rsidR="00FF1A39" w:rsidRPr="00FF1A39">
              <w:rPr>
                <w:szCs w:val="22"/>
                <w:highlight w:val="yellow"/>
              </w:rPr>
              <w:t>–</w:t>
            </w:r>
            <w:r w:rsidR="00CC62E1" w:rsidRPr="00B63C2F">
              <w:rPr>
                <w:color w:val="000000"/>
                <w:highlight w:val="yellow"/>
              </w:rPr>
              <w:t xml:space="preserve"> формирует </w:t>
            </w:r>
            <w:proofErr w:type="spellStart"/>
            <w:r w:rsidR="00CC62E1" w:rsidRPr="00B63C2F">
              <w:rPr>
                <w:color w:val="000000"/>
                <w:highlight w:val="yellow"/>
              </w:rPr>
              <w:t>ценопринимающую</w:t>
            </w:r>
            <w:proofErr w:type="spellEnd"/>
            <w:r w:rsidR="00CC62E1" w:rsidRPr="00B63C2F">
              <w:rPr>
                <w:color w:val="000000"/>
                <w:highlight w:val="yellow"/>
              </w:rPr>
              <w:t xml:space="preserve"> заявку в соответствии с </w:t>
            </w:r>
            <w:r w:rsidR="00CC62E1" w:rsidRPr="009C2CCB">
              <w:rPr>
                <w:i/>
                <w:color w:val="000000"/>
                <w:highlight w:val="yellow"/>
              </w:rPr>
              <w:t>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</w:t>
            </w:r>
            <w:r w:rsidR="00CC62E1" w:rsidRPr="009C2CCB">
              <w:rPr>
                <w:color w:val="000000"/>
                <w:highlight w:val="yellow"/>
              </w:rPr>
              <w:t>.</w:t>
            </w:r>
          </w:p>
        </w:tc>
      </w:tr>
      <w:tr w:rsidR="00B63C2F" w:rsidTr="001241DB">
        <w:trPr>
          <w:trHeight w:val="43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C2F" w:rsidRDefault="00B63C2F" w:rsidP="00B63C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4, п. 21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C2F" w:rsidRDefault="00B63C2F">
            <w:pPr>
              <w:widowControl w:val="0"/>
              <w:spacing w:before="120" w:after="120"/>
              <w:jc w:val="both"/>
              <w:rPr>
                <w:color w:val="000000"/>
              </w:rPr>
            </w:pPr>
            <w:r w:rsidRPr="00A8511B">
              <w:rPr>
                <w:szCs w:val="22"/>
              </w:rPr>
              <w:t xml:space="preserve">Ценовая заявка </w:t>
            </w:r>
            <w:r w:rsidRPr="00A8511B">
              <w:t xml:space="preserve">участника </w:t>
            </w:r>
            <w:r w:rsidRPr="00A8511B">
              <w:rPr>
                <w:szCs w:val="22"/>
              </w:rPr>
              <w:t xml:space="preserve">по ГТП генерации </w:t>
            </w:r>
            <w:r w:rsidRPr="00A8511B">
              <w:t>(объекту управления с регулируемой нагрузкой,</w:t>
            </w:r>
            <w:r w:rsidRPr="00A8511B">
              <w:rPr>
                <w:color w:val="000000"/>
              </w:rPr>
              <w:t xml:space="preserve"> отнесенному к ГТП потре</w:t>
            </w:r>
            <w:r>
              <w:rPr>
                <w:color w:val="000000"/>
              </w:rPr>
              <w:t>бления с регулируемой нагрузкой</w:t>
            </w:r>
            <w:r w:rsidRPr="00A8511B">
              <w:rPr>
                <w:color w:val="000000"/>
              </w:rPr>
              <w:t xml:space="preserve"> </w:t>
            </w:r>
            <w:r w:rsidRPr="00A8511B">
              <w:t xml:space="preserve">в соответствии с </w:t>
            </w:r>
            <w:r w:rsidRPr="00A8511B">
              <w:rPr>
                <w:i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A8511B">
              <w:t>)</w:t>
            </w:r>
            <w:r w:rsidRPr="00A8511B">
              <w:rPr>
                <w:szCs w:val="22"/>
              </w:rPr>
              <w:t xml:space="preserve">, поданная для участия в конкурентном отборе ценовых заявок на сутки вперед, передаваемая КО в СО в соответствии с п. 3.1 </w:t>
            </w:r>
            <w:bookmarkStart w:id="0" w:name="56"/>
            <w:r w:rsidRPr="00A8511B">
              <w:rPr>
                <w:b/>
                <w:i/>
                <w:szCs w:val="22"/>
              </w:rPr>
              <w:fldChar w:fldCharType="begin"/>
            </w:r>
            <w:r w:rsidRPr="00A8511B">
              <w:rPr>
                <w:i/>
                <w:szCs w:val="22"/>
              </w:rPr>
              <w:instrText xml:space="preserve"> HYPERLINK "http://www.np-sr.ru/norem/marketregulation/joining/marketnorem/currentedition/index.htm?ssFolderId=56" </w:instrText>
            </w:r>
            <w:r w:rsidRPr="00A8511B">
              <w:rPr>
                <w:b/>
                <w:i/>
                <w:szCs w:val="22"/>
              </w:rPr>
              <w:fldChar w:fldCharType="separate"/>
            </w:r>
            <w:r w:rsidRPr="00A8511B">
              <w:rPr>
                <w:i/>
                <w:szCs w:val="22"/>
              </w:rPr>
              <w:t>Регламента проведения конкурентного отбора заявок для балансирования системы</w:t>
            </w:r>
            <w:r w:rsidRPr="00A8511B">
              <w:rPr>
                <w:b/>
                <w:i/>
                <w:szCs w:val="22"/>
              </w:rPr>
              <w:fldChar w:fldCharType="end"/>
            </w:r>
            <w:bookmarkEnd w:id="0"/>
            <w:r w:rsidRPr="00A8511B">
              <w:rPr>
                <w:i/>
                <w:szCs w:val="22"/>
              </w:rPr>
              <w:t xml:space="preserve"> </w:t>
            </w:r>
            <w:r w:rsidRPr="00A8511B">
              <w:rPr>
                <w:szCs w:val="22"/>
              </w:rPr>
              <w:t>(Приложение № 10</w:t>
            </w:r>
            <w:r w:rsidRPr="00A8511B">
              <w:rPr>
                <w:i/>
                <w:szCs w:val="22"/>
              </w:rPr>
              <w:t xml:space="preserve"> к Договору о присоединении к торговой системе оптового рынка</w:t>
            </w:r>
            <w:r w:rsidRPr="00A8511B">
              <w:rPr>
                <w:szCs w:val="22"/>
              </w:rPr>
              <w:t xml:space="preserve">) для целей применения при проведении конкурентного отбора заявок для балансирования системы, определяется как ценовая заявка по данной ГТП </w:t>
            </w:r>
            <w:r w:rsidRPr="00A8511B">
              <w:t>(объекту управления с регулируемой нагрузкой,</w:t>
            </w:r>
            <w:r w:rsidRPr="00A8511B">
              <w:rPr>
                <w:color w:val="000000"/>
              </w:rPr>
              <w:t xml:space="preserve"> отнесенному к ГТП потре</w:t>
            </w:r>
            <w:r>
              <w:rPr>
                <w:color w:val="000000"/>
              </w:rPr>
              <w:t>бления с регулируемой нагрузкой</w:t>
            </w:r>
            <w:r w:rsidRPr="00A8511B">
              <w:rPr>
                <w:color w:val="000000"/>
              </w:rPr>
              <w:t xml:space="preserve"> </w:t>
            </w:r>
            <w:r w:rsidRPr="00A8511B">
              <w:t xml:space="preserve">в соответствии с </w:t>
            </w:r>
            <w:r w:rsidRPr="00A8511B">
              <w:rPr>
                <w:i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A8511B">
              <w:t>)</w:t>
            </w:r>
            <w:r w:rsidRPr="00A8511B">
              <w:rPr>
                <w:szCs w:val="22"/>
              </w:rPr>
              <w:t xml:space="preserve">, определенная согласно </w:t>
            </w:r>
            <w:r w:rsidRPr="00A8511B">
              <w:rPr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A8511B">
              <w:rPr>
                <w:szCs w:val="22"/>
              </w:rPr>
              <w:t>(Приложение № 5</w:t>
            </w:r>
            <w:r w:rsidRPr="00A8511B">
              <w:rPr>
                <w:i/>
                <w:szCs w:val="22"/>
              </w:rPr>
              <w:t xml:space="preserve"> к Договору о присоединении к торговой системе оптового рынка</w:t>
            </w:r>
            <w:r w:rsidRPr="00A8511B">
              <w:rPr>
                <w:szCs w:val="22"/>
              </w:rPr>
              <w:t xml:space="preserve">) (без осуществления модификации данной ценовой заявки с учетом </w:t>
            </w:r>
            <w:proofErr w:type="spellStart"/>
            <w:r w:rsidRPr="00A8511B">
              <w:rPr>
                <w:szCs w:val="22"/>
              </w:rPr>
              <w:t>Pmax</w:t>
            </w:r>
            <w:proofErr w:type="spellEnd"/>
            <w:r w:rsidRPr="00A8511B">
              <w:rPr>
                <w:szCs w:val="22"/>
              </w:rPr>
              <w:t xml:space="preserve">, указанной в п. 3.2.2 </w:t>
            </w:r>
            <w:r w:rsidRPr="00A8511B">
              <w:rPr>
                <w:i/>
                <w:szCs w:val="22"/>
              </w:rPr>
              <w:t>Регламента подачи ценовых заявок участниками оптового рынка</w:t>
            </w:r>
            <w:r w:rsidRPr="00A8511B">
              <w:rPr>
                <w:szCs w:val="22"/>
              </w:rPr>
              <w:t xml:space="preserve"> (Приложение № 5 к </w:t>
            </w:r>
            <w:r w:rsidRPr="00A8511B">
              <w:rPr>
                <w:i/>
                <w:szCs w:val="22"/>
              </w:rPr>
              <w:t xml:space="preserve">Договору о присоединении к </w:t>
            </w:r>
            <w:r w:rsidRPr="00A8511B">
              <w:rPr>
                <w:i/>
                <w:szCs w:val="22"/>
              </w:rPr>
              <w:lastRenderedPageBreak/>
              <w:t>торговой системе оптового рынка</w:t>
            </w:r>
            <w:r w:rsidRPr="00A8511B">
              <w:rPr>
                <w:szCs w:val="22"/>
              </w:rPr>
              <w:t xml:space="preserve">), с учетом выполнения модификаций, указанных в данном разделе настоящего Регламента (за исключением преобразований, указанных в </w:t>
            </w:r>
            <w:proofErr w:type="spellStart"/>
            <w:r w:rsidRPr="00A8511B">
              <w:t>пп</w:t>
            </w:r>
            <w:proofErr w:type="spellEnd"/>
            <w:r w:rsidRPr="00A8511B">
              <w:t xml:space="preserve">. 9, </w:t>
            </w:r>
            <w:proofErr w:type="spellStart"/>
            <w:r w:rsidRPr="00A8511B">
              <w:rPr>
                <w:szCs w:val="22"/>
              </w:rPr>
              <w:t>пп</w:t>
            </w:r>
            <w:proofErr w:type="spellEnd"/>
            <w:r w:rsidRPr="00A8511B">
              <w:rPr>
                <w:szCs w:val="22"/>
              </w:rPr>
              <w:t xml:space="preserve">. 16.2, </w:t>
            </w:r>
            <w:proofErr w:type="spellStart"/>
            <w:r w:rsidRPr="00A8511B">
              <w:rPr>
                <w:szCs w:val="22"/>
              </w:rPr>
              <w:t>пп</w:t>
            </w:r>
            <w:proofErr w:type="spellEnd"/>
            <w:r w:rsidRPr="00A8511B">
              <w:rPr>
                <w:szCs w:val="22"/>
              </w:rPr>
              <w:t xml:space="preserve">. 18, </w:t>
            </w:r>
            <w:proofErr w:type="spellStart"/>
            <w:r w:rsidRPr="00A8511B">
              <w:rPr>
                <w:szCs w:val="22"/>
              </w:rPr>
              <w:t>пп</w:t>
            </w:r>
            <w:proofErr w:type="spellEnd"/>
            <w:r w:rsidRPr="00A8511B">
              <w:rPr>
                <w:szCs w:val="22"/>
              </w:rPr>
              <w:t xml:space="preserve">. «б» </w:t>
            </w:r>
            <w:proofErr w:type="spellStart"/>
            <w:r w:rsidRPr="00A8511B">
              <w:rPr>
                <w:szCs w:val="22"/>
              </w:rPr>
              <w:t>пп</w:t>
            </w:r>
            <w:proofErr w:type="spellEnd"/>
            <w:r w:rsidRPr="00A8511B">
              <w:rPr>
                <w:szCs w:val="22"/>
              </w:rPr>
              <w:t>. 20 п. 4 настоящего Регламента).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C2F" w:rsidRDefault="00B63C2F">
            <w:pPr>
              <w:widowControl w:val="0"/>
              <w:spacing w:before="120" w:after="120"/>
              <w:jc w:val="both"/>
              <w:rPr>
                <w:color w:val="000000"/>
              </w:rPr>
            </w:pPr>
            <w:r w:rsidRPr="00A8511B">
              <w:rPr>
                <w:szCs w:val="22"/>
              </w:rPr>
              <w:lastRenderedPageBreak/>
              <w:t xml:space="preserve">Ценовая заявка </w:t>
            </w:r>
            <w:r w:rsidRPr="00A8511B">
              <w:t xml:space="preserve">участника </w:t>
            </w:r>
            <w:r w:rsidRPr="00A8511B">
              <w:rPr>
                <w:szCs w:val="22"/>
              </w:rPr>
              <w:t xml:space="preserve">по ГТП генерации </w:t>
            </w:r>
            <w:r w:rsidRPr="00A8511B">
              <w:t>(объекту управления с регулируемой нагрузкой,</w:t>
            </w:r>
            <w:r w:rsidRPr="00A8511B">
              <w:rPr>
                <w:color w:val="000000"/>
              </w:rPr>
              <w:t xml:space="preserve"> отнесенному к ГТП потре</w:t>
            </w:r>
            <w:r>
              <w:rPr>
                <w:color w:val="000000"/>
              </w:rPr>
              <w:t>бления с регулируемой нагрузкой</w:t>
            </w:r>
            <w:r w:rsidRPr="00A8511B">
              <w:rPr>
                <w:color w:val="000000"/>
              </w:rPr>
              <w:t xml:space="preserve"> </w:t>
            </w:r>
            <w:r w:rsidRPr="00A8511B">
              <w:t xml:space="preserve">в соответствии с </w:t>
            </w:r>
            <w:r w:rsidRPr="00A8511B">
              <w:rPr>
                <w:i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A8511B">
              <w:t>)</w:t>
            </w:r>
            <w:r w:rsidRPr="00A8511B">
              <w:rPr>
                <w:szCs w:val="22"/>
              </w:rPr>
              <w:t xml:space="preserve">, поданная для участия в конкурентном отборе ценовых заявок на сутки вперед, передаваемая КО в СО в соответствии с п. 3.1 </w:t>
            </w:r>
            <w:hyperlink r:id="rId5" w:history="1">
              <w:r w:rsidRPr="00A8511B">
                <w:rPr>
                  <w:i/>
                  <w:szCs w:val="22"/>
                </w:rPr>
                <w:t>Регламента проведения конкурентного отбора заявок для балансирования системы</w:t>
              </w:r>
            </w:hyperlink>
            <w:r w:rsidRPr="00A8511B">
              <w:rPr>
                <w:i/>
                <w:szCs w:val="22"/>
              </w:rPr>
              <w:t xml:space="preserve"> </w:t>
            </w:r>
            <w:r w:rsidRPr="00A8511B">
              <w:rPr>
                <w:szCs w:val="22"/>
              </w:rPr>
              <w:t>(Приложение № 10</w:t>
            </w:r>
            <w:r w:rsidRPr="00A8511B">
              <w:rPr>
                <w:i/>
                <w:szCs w:val="22"/>
              </w:rPr>
              <w:t xml:space="preserve"> к Договору о присоединении к торговой системе оптового рынка</w:t>
            </w:r>
            <w:r w:rsidRPr="00A8511B">
              <w:rPr>
                <w:szCs w:val="22"/>
              </w:rPr>
              <w:t xml:space="preserve">) для целей применения при проведении конкурентного отбора заявок для балансирования системы, определяется как ценовая заявка по данной ГТП </w:t>
            </w:r>
            <w:r w:rsidRPr="00A8511B">
              <w:t>(объекту управления с регулируемой нагрузкой,</w:t>
            </w:r>
            <w:r w:rsidRPr="00A8511B">
              <w:rPr>
                <w:color w:val="000000"/>
              </w:rPr>
              <w:t xml:space="preserve"> отнесенному к ГТП потре</w:t>
            </w:r>
            <w:r>
              <w:rPr>
                <w:color w:val="000000"/>
              </w:rPr>
              <w:t>бления с регулируемой нагрузкой</w:t>
            </w:r>
            <w:r w:rsidRPr="00A8511B">
              <w:rPr>
                <w:color w:val="000000"/>
              </w:rPr>
              <w:t xml:space="preserve"> </w:t>
            </w:r>
            <w:r w:rsidRPr="00A8511B">
              <w:t xml:space="preserve">в соответствии с </w:t>
            </w:r>
            <w:r w:rsidRPr="00A8511B">
              <w:rPr>
                <w:i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A8511B">
              <w:t>)</w:t>
            </w:r>
            <w:r w:rsidRPr="00A8511B">
              <w:rPr>
                <w:szCs w:val="22"/>
              </w:rPr>
              <w:t xml:space="preserve">, определенная согласно </w:t>
            </w:r>
            <w:r w:rsidRPr="00A8511B">
              <w:rPr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A8511B">
              <w:rPr>
                <w:szCs w:val="22"/>
              </w:rPr>
              <w:t>(Приложение № 5</w:t>
            </w:r>
            <w:r w:rsidRPr="00A8511B">
              <w:rPr>
                <w:i/>
                <w:szCs w:val="22"/>
              </w:rPr>
              <w:t xml:space="preserve"> к Договору о присоединении к торговой системе оптового рынка</w:t>
            </w:r>
            <w:r w:rsidRPr="00A8511B">
              <w:rPr>
                <w:szCs w:val="22"/>
              </w:rPr>
              <w:t xml:space="preserve">) (без осуществления модификации данной ценовой заявки с учетом </w:t>
            </w:r>
            <w:proofErr w:type="spellStart"/>
            <w:r w:rsidRPr="00A8511B">
              <w:rPr>
                <w:szCs w:val="22"/>
              </w:rPr>
              <w:t>Pmax</w:t>
            </w:r>
            <w:proofErr w:type="spellEnd"/>
            <w:r w:rsidRPr="00A8511B">
              <w:rPr>
                <w:szCs w:val="22"/>
              </w:rPr>
              <w:t xml:space="preserve">, указанной в п. 3.2.2 </w:t>
            </w:r>
            <w:r w:rsidRPr="00A8511B">
              <w:rPr>
                <w:i/>
                <w:szCs w:val="22"/>
              </w:rPr>
              <w:t xml:space="preserve">Регламента подачи ценовых заявок участниками оптового </w:t>
            </w:r>
            <w:r w:rsidRPr="00A8511B">
              <w:rPr>
                <w:i/>
                <w:szCs w:val="22"/>
              </w:rPr>
              <w:lastRenderedPageBreak/>
              <w:t>рынка</w:t>
            </w:r>
            <w:r w:rsidRPr="00A8511B">
              <w:rPr>
                <w:szCs w:val="22"/>
              </w:rPr>
              <w:t xml:space="preserve"> (Приложение № 5 к </w:t>
            </w:r>
            <w:r w:rsidRPr="00A8511B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A8511B">
              <w:rPr>
                <w:szCs w:val="22"/>
              </w:rPr>
              <w:t>), с учетом выполнения модификаций, указанных в данном разделе настоящего Регламента (за иск</w:t>
            </w:r>
            <w:bookmarkStart w:id="1" w:name="_GoBack"/>
            <w:bookmarkEnd w:id="1"/>
            <w:r w:rsidRPr="00A8511B">
              <w:rPr>
                <w:szCs w:val="22"/>
              </w:rPr>
              <w:t>лючением преобразований, указанных в</w:t>
            </w:r>
            <w:r>
              <w:rPr>
                <w:szCs w:val="22"/>
              </w:rPr>
              <w:t xml:space="preserve"> </w:t>
            </w:r>
            <w:r w:rsidRPr="009C2CCB">
              <w:rPr>
                <w:szCs w:val="22"/>
                <w:highlight w:val="yellow"/>
              </w:rPr>
              <w:t>п</w:t>
            </w:r>
            <w:r w:rsidR="004C7ED5">
              <w:rPr>
                <w:szCs w:val="22"/>
                <w:highlight w:val="yellow"/>
              </w:rPr>
              <w:t>од</w:t>
            </w:r>
            <w:r w:rsidRPr="009C2CCB">
              <w:rPr>
                <w:szCs w:val="22"/>
                <w:highlight w:val="yellow"/>
              </w:rPr>
              <w:t>п.</w:t>
            </w:r>
            <w:r w:rsidR="004C7ED5">
              <w:rPr>
                <w:szCs w:val="22"/>
                <w:highlight w:val="yellow"/>
              </w:rPr>
              <w:t xml:space="preserve"> «</w:t>
            </w:r>
            <w:r w:rsidRPr="009C2CCB">
              <w:rPr>
                <w:szCs w:val="22"/>
                <w:highlight w:val="yellow"/>
              </w:rPr>
              <w:t>б</w:t>
            </w:r>
            <w:r w:rsidR="004C7ED5">
              <w:rPr>
                <w:szCs w:val="22"/>
                <w:highlight w:val="yellow"/>
              </w:rPr>
              <w:t>»</w:t>
            </w:r>
            <w:r w:rsidRPr="009C2CCB">
              <w:rPr>
                <w:szCs w:val="22"/>
                <w:highlight w:val="yellow"/>
              </w:rPr>
              <w:t xml:space="preserve"> п</w:t>
            </w:r>
            <w:r w:rsidR="004C7ED5">
              <w:rPr>
                <w:szCs w:val="22"/>
                <w:highlight w:val="yellow"/>
              </w:rPr>
              <w:t>од</w:t>
            </w:r>
            <w:r w:rsidRPr="009C2CCB">
              <w:rPr>
                <w:szCs w:val="22"/>
                <w:highlight w:val="yellow"/>
              </w:rPr>
              <w:t>п.</w:t>
            </w:r>
            <w:r w:rsidR="004C7ED5">
              <w:rPr>
                <w:szCs w:val="22"/>
                <w:highlight w:val="yellow"/>
              </w:rPr>
              <w:t xml:space="preserve"> </w:t>
            </w:r>
            <w:r w:rsidRPr="009C2CCB">
              <w:rPr>
                <w:szCs w:val="22"/>
                <w:highlight w:val="yellow"/>
              </w:rPr>
              <w:t>8,</w:t>
            </w:r>
            <w:r>
              <w:rPr>
                <w:szCs w:val="22"/>
              </w:rPr>
              <w:t xml:space="preserve"> </w:t>
            </w:r>
            <w:r w:rsidRPr="00A8511B">
              <w:rPr>
                <w:szCs w:val="22"/>
              </w:rPr>
              <w:t xml:space="preserve"> </w:t>
            </w:r>
            <w:r w:rsidRPr="00A8511B">
              <w:t>п</w:t>
            </w:r>
            <w:r w:rsidR="004C7ED5" w:rsidRPr="004C7ED5">
              <w:rPr>
                <w:highlight w:val="yellow"/>
              </w:rPr>
              <w:t>од</w:t>
            </w:r>
            <w:r w:rsidRPr="00A8511B">
              <w:t xml:space="preserve">п. 9, </w:t>
            </w:r>
            <w:r w:rsidRPr="00A8511B">
              <w:rPr>
                <w:szCs w:val="22"/>
              </w:rPr>
              <w:t>п</w:t>
            </w:r>
            <w:r w:rsidR="004C7ED5" w:rsidRPr="004C7ED5">
              <w:rPr>
                <w:szCs w:val="22"/>
                <w:highlight w:val="yellow"/>
              </w:rPr>
              <w:t>од</w:t>
            </w:r>
            <w:r w:rsidRPr="00A8511B">
              <w:rPr>
                <w:szCs w:val="22"/>
              </w:rPr>
              <w:t>п. 16.2, п</w:t>
            </w:r>
            <w:r w:rsidR="004C7ED5" w:rsidRPr="004C7ED5">
              <w:rPr>
                <w:szCs w:val="22"/>
                <w:highlight w:val="yellow"/>
              </w:rPr>
              <w:t>од</w:t>
            </w:r>
            <w:r w:rsidRPr="00A8511B">
              <w:rPr>
                <w:szCs w:val="22"/>
              </w:rPr>
              <w:t>п. 18, п</w:t>
            </w:r>
            <w:r w:rsidR="004C7ED5" w:rsidRPr="004C7ED5">
              <w:rPr>
                <w:szCs w:val="22"/>
                <w:highlight w:val="yellow"/>
              </w:rPr>
              <w:t>од</w:t>
            </w:r>
            <w:r w:rsidRPr="00A8511B">
              <w:rPr>
                <w:szCs w:val="22"/>
              </w:rPr>
              <w:t>п. «б» п</w:t>
            </w:r>
            <w:r w:rsidR="004C7ED5" w:rsidRPr="004C7ED5">
              <w:rPr>
                <w:szCs w:val="22"/>
                <w:highlight w:val="yellow"/>
              </w:rPr>
              <w:t>од</w:t>
            </w:r>
            <w:r w:rsidRPr="00A8511B">
              <w:rPr>
                <w:szCs w:val="22"/>
              </w:rPr>
              <w:t>п. 20 п. 4 настоящего Регламента).</w:t>
            </w:r>
          </w:p>
        </w:tc>
      </w:tr>
    </w:tbl>
    <w:p w:rsidR="001241DB" w:rsidRDefault="001241DB" w:rsidP="001241DB">
      <w:pPr>
        <w:rPr>
          <w:szCs w:val="22"/>
          <w:lang w:eastAsia="en-US"/>
        </w:rPr>
      </w:pPr>
    </w:p>
    <w:p w:rsidR="001241DB" w:rsidRDefault="001241DB" w:rsidP="001241DB">
      <w:pPr>
        <w:widowControl w:val="0"/>
      </w:pPr>
    </w:p>
    <w:sectPr w:rsidR="001241DB" w:rsidSect="001241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380B"/>
    <w:multiLevelType w:val="hybridMultilevel"/>
    <w:tmpl w:val="5232DEFA"/>
    <w:lvl w:ilvl="0" w:tplc="CEF075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DB"/>
    <w:rsid w:val="001241DB"/>
    <w:rsid w:val="001B3D15"/>
    <w:rsid w:val="001E542F"/>
    <w:rsid w:val="0027092A"/>
    <w:rsid w:val="002C21A8"/>
    <w:rsid w:val="004C7ED5"/>
    <w:rsid w:val="005024A0"/>
    <w:rsid w:val="00556EF7"/>
    <w:rsid w:val="006059EE"/>
    <w:rsid w:val="009C2CCB"/>
    <w:rsid w:val="00B63C2F"/>
    <w:rsid w:val="00CB4D84"/>
    <w:rsid w:val="00CC62E1"/>
    <w:rsid w:val="00DC4458"/>
    <w:rsid w:val="00DE2873"/>
    <w:rsid w:val="00E026B0"/>
    <w:rsid w:val="00ED1C06"/>
    <w:rsid w:val="00FF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F1BE1-3271-4E91-846B-F39309C5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1DB"/>
    <w:pPr>
      <w:spacing w:after="0" w:line="240" w:lineRule="auto"/>
    </w:pPr>
    <w:rPr>
      <w:rFonts w:ascii="Garamond" w:eastAsia="Times New Roman" w:hAnsi="Garamond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2">
    <w:name w:val="Body Text 212"/>
    <w:basedOn w:val="a"/>
    <w:rsid w:val="001241DB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character" w:customStyle="1" w:styleId="1">
    <w:name w:val="Основной текст Знак1"/>
    <w:aliases w:val="body text Знак"/>
    <w:link w:val="a3"/>
    <w:semiHidden/>
    <w:locked/>
    <w:rsid w:val="001241DB"/>
    <w:rPr>
      <w:rFonts w:ascii="Times New Roman" w:eastAsia="Times New Roman" w:hAnsi="Times New Roman" w:cs="Times New Roman"/>
      <w:lang w:val="en-GB"/>
    </w:rPr>
  </w:style>
  <w:style w:type="paragraph" w:styleId="a3">
    <w:name w:val="Body Text"/>
    <w:aliases w:val="body text"/>
    <w:basedOn w:val="a"/>
    <w:link w:val="1"/>
    <w:semiHidden/>
    <w:unhideWhenUsed/>
    <w:rsid w:val="001241DB"/>
    <w:pPr>
      <w:spacing w:before="120" w:after="120"/>
      <w:jc w:val="both"/>
    </w:pPr>
    <w:rPr>
      <w:rFonts w:ascii="Times New Roman" w:hAnsi="Times New Roman"/>
      <w:szCs w:val="22"/>
      <w:lang w:val="en-GB" w:eastAsia="en-US"/>
    </w:rPr>
  </w:style>
  <w:style w:type="character" w:customStyle="1" w:styleId="a4">
    <w:name w:val="Основной текст Знак"/>
    <w:basedOn w:val="a0"/>
    <w:uiPriority w:val="99"/>
    <w:semiHidden/>
    <w:rsid w:val="001241DB"/>
    <w:rPr>
      <w:rFonts w:ascii="Garamond" w:eastAsia="Times New Roman" w:hAnsi="Garamond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1E54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1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1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p-sr.ru/norem/marketregulation/joining/marketnorem/currentedition/index.htm?ssFolderId=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 Михаил Николаевич</dc:creator>
  <cp:keywords/>
  <dc:description/>
  <cp:lastModifiedBy>Гирина Марина Владимировна</cp:lastModifiedBy>
  <cp:revision>7</cp:revision>
  <dcterms:created xsi:type="dcterms:W3CDTF">2022-09-13T07:03:00Z</dcterms:created>
  <dcterms:modified xsi:type="dcterms:W3CDTF">2022-09-19T08:30:00Z</dcterms:modified>
</cp:coreProperties>
</file>