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09" w:rsidRPr="00872F09" w:rsidRDefault="00872F09" w:rsidP="00872F09">
      <w:pPr>
        <w:pStyle w:val="30"/>
        <w:shd w:val="clear" w:color="auto" w:fill="auto"/>
        <w:spacing w:line="240" w:lineRule="auto"/>
        <w:jc w:val="right"/>
        <w:rPr>
          <w:b w:val="0"/>
          <w:sz w:val="28"/>
          <w:szCs w:val="28"/>
        </w:rPr>
      </w:pPr>
      <w:r w:rsidRPr="00872F09">
        <w:rPr>
          <w:b w:val="0"/>
          <w:sz w:val="28"/>
          <w:szCs w:val="28"/>
        </w:rPr>
        <w:t>П Р О Е К Т</w:t>
      </w:r>
    </w:p>
    <w:p w:rsidR="00872F09" w:rsidRDefault="00872F09" w:rsidP="003624F9">
      <w:pPr>
        <w:pStyle w:val="30"/>
        <w:shd w:val="clear" w:color="auto" w:fill="auto"/>
        <w:spacing w:line="220" w:lineRule="exact"/>
        <w:rPr>
          <w:sz w:val="28"/>
          <w:szCs w:val="28"/>
        </w:rPr>
      </w:pPr>
    </w:p>
    <w:p w:rsidR="003624F9" w:rsidRPr="00872F09" w:rsidRDefault="003624F9" w:rsidP="00872F09">
      <w:pPr>
        <w:pStyle w:val="30"/>
        <w:shd w:val="clear" w:color="auto" w:fill="auto"/>
        <w:spacing w:line="240" w:lineRule="auto"/>
        <w:rPr>
          <w:sz w:val="28"/>
          <w:szCs w:val="28"/>
        </w:rPr>
      </w:pPr>
      <w:r w:rsidRPr="00872F09">
        <w:rPr>
          <w:sz w:val="28"/>
          <w:szCs w:val="28"/>
        </w:rPr>
        <w:t>ПРАВИТЕЛЬСТВО РОССИЙСКОЙ ФЕДЕРАЦИИ</w:t>
      </w:r>
    </w:p>
    <w:p w:rsidR="00872F09" w:rsidRDefault="00872F09" w:rsidP="003624F9">
      <w:pPr>
        <w:pStyle w:val="30"/>
        <w:shd w:val="clear" w:color="auto" w:fill="auto"/>
        <w:tabs>
          <w:tab w:val="left" w:leader="underscore" w:pos="4768"/>
          <w:tab w:val="left" w:leader="underscore" w:pos="6501"/>
        </w:tabs>
        <w:spacing w:line="408" w:lineRule="exact"/>
        <w:ind w:firstLine="360"/>
        <w:rPr>
          <w:rStyle w:val="32pt"/>
          <w:sz w:val="28"/>
          <w:szCs w:val="28"/>
        </w:rPr>
      </w:pPr>
    </w:p>
    <w:p w:rsidR="003624F9" w:rsidRPr="00872F09" w:rsidRDefault="003624F9" w:rsidP="003624F9">
      <w:pPr>
        <w:pStyle w:val="30"/>
        <w:shd w:val="clear" w:color="auto" w:fill="auto"/>
        <w:tabs>
          <w:tab w:val="left" w:leader="underscore" w:pos="4768"/>
          <w:tab w:val="left" w:leader="underscore" w:pos="6501"/>
        </w:tabs>
        <w:spacing w:line="408" w:lineRule="exact"/>
        <w:ind w:firstLine="360"/>
        <w:rPr>
          <w:rStyle w:val="32pt"/>
          <w:b/>
          <w:bCs/>
          <w:sz w:val="28"/>
          <w:szCs w:val="28"/>
        </w:rPr>
      </w:pPr>
      <w:r w:rsidRPr="00872F09">
        <w:rPr>
          <w:rStyle w:val="32pt"/>
          <w:sz w:val="28"/>
          <w:szCs w:val="28"/>
        </w:rPr>
        <w:t>ПОСТАНОВЛЕНИЕ</w:t>
      </w:r>
    </w:p>
    <w:p w:rsidR="003624F9" w:rsidRPr="00872F09" w:rsidRDefault="003624F9" w:rsidP="003624F9">
      <w:pPr>
        <w:pStyle w:val="30"/>
        <w:shd w:val="clear" w:color="auto" w:fill="auto"/>
        <w:tabs>
          <w:tab w:val="left" w:leader="underscore" w:pos="4768"/>
          <w:tab w:val="left" w:leader="underscore" w:pos="6501"/>
        </w:tabs>
        <w:spacing w:line="408" w:lineRule="exact"/>
        <w:ind w:firstLine="360"/>
        <w:rPr>
          <w:sz w:val="28"/>
          <w:szCs w:val="28"/>
        </w:rPr>
      </w:pPr>
      <w:r w:rsidRPr="00872F09">
        <w:rPr>
          <w:rStyle w:val="32pt"/>
          <w:sz w:val="28"/>
          <w:szCs w:val="28"/>
        </w:rPr>
        <w:t xml:space="preserve"> </w:t>
      </w:r>
      <w:r w:rsidRPr="00872F09">
        <w:rPr>
          <w:sz w:val="28"/>
          <w:szCs w:val="28"/>
        </w:rPr>
        <w:t>от «_____» 201</w:t>
      </w:r>
      <w:r w:rsidR="00B87D73" w:rsidRPr="00872F09">
        <w:rPr>
          <w:sz w:val="28"/>
          <w:szCs w:val="28"/>
        </w:rPr>
        <w:t>6</w:t>
      </w:r>
      <w:r w:rsidRPr="00872F09">
        <w:rPr>
          <w:sz w:val="28"/>
          <w:szCs w:val="28"/>
        </w:rPr>
        <w:t xml:space="preserve"> г. №____</w:t>
      </w:r>
    </w:p>
    <w:p w:rsidR="003624F9" w:rsidRPr="00872F09" w:rsidRDefault="003624F9" w:rsidP="003624F9">
      <w:pPr>
        <w:pStyle w:val="30"/>
        <w:shd w:val="clear" w:color="auto" w:fill="auto"/>
        <w:tabs>
          <w:tab w:val="left" w:leader="underscore" w:pos="4768"/>
          <w:tab w:val="left" w:leader="underscore" w:pos="6501"/>
        </w:tabs>
        <w:spacing w:line="408" w:lineRule="exact"/>
        <w:ind w:firstLine="360"/>
        <w:rPr>
          <w:sz w:val="28"/>
          <w:szCs w:val="28"/>
        </w:rPr>
      </w:pPr>
    </w:p>
    <w:p w:rsidR="003624F9" w:rsidRPr="00872F09" w:rsidRDefault="003624F9" w:rsidP="003624F9">
      <w:pPr>
        <w:spacing w:line="220" w:lineRule="exact"/>
        <w:jc w:val="center"/>
        <w:rPr>
          <w:rFonts w:ascii="Times New Roman" w:hAnsi="Times New Roman" w:cs="Times New Roman"/>
          <w:sz w:val="28"/>
          <w:szCs w:val="28"/>
        </w:rPr>
      </w:pPr>
      <w:r w:rsidRPr="00872F09">
        <w:rPr>
          <w:rFonts w:ascii="Times New Roman" w:hAnsi="Times New Roman" w:cs="Times New Roman"/>
          <w:sz w:val="28"/>
          <w:szCs w:val="28"/>
        </w:rPr>
        <w:t>МОСКВА</w:t>
      </w:r>
    </w:p>
    <w:p w:rsidR="003624F9" w:rsidRPr="00872F09" w:rsidRDefault="003624F9" w:rsidP="00872F09">
      <w:pPr>
        <w:pStyle w:val="10"/>
        <w:keepNext/>
        <w:keepLines/>
        <w:shd w:val="clear" w:color="auto" w:fill="auto"/>
        <w:spacing w:line="240" w:lineRule="auto"/>
        <w:rPr>
          <w:sz w:val="28"/>
          <w:szCs w:val="28"/>
        </w:rPr>
      </w:pPr>
      <w:bookmarkStart w:id="0" w:name="bookmark0"/>
      <w:r w:rsidRPr="00872F09">
        <w:rPr>
          <w:sz w:val="28"/>
          <w:szCs w:val="28"/>
        </w:rPr>
        <w:t xml:space="preserve">О внесении изменений в некоторые </w:t>
      </w:r>
      <w:r w:rsidR="00D415D2">
        <w:rPr>
          <w:sz w:val="28"/>
          <w:szCs w:val="28"/>
        </w:rPr>
        <w:t>акты</w:t>
      </w:r>
      <w:r w:rsidRPr="00872F09">
        <w:rPr>
          <w:sz w:val="28"/>
          <w:szCs w:val="28"/>
        </w:rPr>
        <w:t xml:space="preserve"> Правительства Российской Федерации по вопросу установления сбытовых надбавок гарантирующих поставщиков с использованием метода сравнения</w:t>
      </w:r>
      <w:bookmarkEnd w:id="0"/>
    </w:p>
    <w:p w:rsidR="003624F9" w:rsidRPr="00872F09" w:rsidRDefault="003624F9" w:rsidP="00872F09">
      <w:pPr>
        <w:pStyle w:val="10"/>
        <w:keepNext/>
        <w:keepLines/>
        <w:shd w:val="clear" w:color="auto" w:fill="auto"/>
        <w:spacing w:line="240" w:lineRule="auto"/>
        <w:rPr>
          <w:sz w:val="28"/>
          <w:szCs w:val="28"/>
        </w:rPr>
      </w:pPr>
      <w:bookmarkStart w:id="1" w:name="bookmark1"/>
      <w:r w:rsidRPr="00872F09">
        <w:rPr>
          <w:sz w:val="28"/>
          <w:szCs w:val="28"/>
        </w:rPr>
        <w:t>аналогов</w:t>
      </w:r>
      <w:bookmarkEnd w:id="1"/>
    </w:p>
    <w:p w:rsidR="00872F09" w:rsidRDefault="00872F09" w:rsidP="00872F09">
      <w:pPr>
        <w:spacing w:after="0" w:line="240" w:lineRule="auto"/>
        <w:ind w:firstLine="360"/>
        <w:jc w:val="both"/>
        <w:rPr>
          <w:rFonts w:ascii="Times New Roman" w:hAnsi="Times New Roman" w:cs="Times New Roman"/>
          <w:sz w:val="28"/>
          <w:szCs w:val="28"/>
        </w:rPr>
      </w:pP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Правительство Российской Федерации постановляет:</w:t>
      </w:r>
    </w:p>
    <w:p w:rsidR="004240B3" w:rsidRPr="00872F09" w:rsidRDefault="004240B3" w:rsidP="00872F09">
      <w:pPr>
        <w:pStyle w:val="a7"/>
        <w:numPr>
          <w:ilvl w:val="0"/>
          <w:numId w:val="1"/>
        </w:numPr>
        <w:spacing w:after="0" w:line="240" w:lineRule="auto"/>
        <w:ind w:left="0" w:firstLine="567"/>
        <w:jc w:val="both"/>
        <w:rPr>
          <w:rFonts w:ascii="Times New Roman" w:hAnsi="Times New Roman" w:cs="Times New Roman"/>
          <w:sz w:val="28"/>
          <w:szCs w:val="28"/>
        </w:rPr>
      </w:pPr>
      <w:r w:rsidRPr="00872F09">
        <w:rPr>
          <w:rFonts w:ascii="Times New Roman" w:hAnsi="Times New Roman" w:cs="Times New Roman"/>
          <w:sz w:val="28"/>
          <w:szCs w:val="28"/>
        </w:rPr>
        <w:t>Утвердить прилагаемые изменения, которые вносятся в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w:t>
      </w:r>
    </w:p>
    <w:p w:rsidR="003624F9" w:rsidRPr="00872F09" w:rsidRDefault="003624F9" w:rsidP="00872F09">
      <w:pPr>
        <w:widowControl w:val="0"/>
        <w:numPr>
          <w:ilvl w:val="0"/>
          <w:numId w:val="1"/>
        </w:numPr>
        <w:tabs>
          <w:tab w:val="left" w:pos="1418"/>
        </w:tabs>
        <w:spacing w:after="0" w:line="240" w:lineRule="auto"/>
        <w:ind w:firstLine="567"/>
        <w:jc w:val="both"/>
        <w:rPr>
          <w:rFonts w:ascii="Times New Roman" w:hAnsi="Times New Roman" w:cs="Times New Roman"/>
          <w:sz w:val="28"/>
          <w:szCs w:val="28"/>
        </w:rPr>
      </w:pPr>
      <w:r w:rsidRPr="00872F09">
        <w:rPr>
          <w:rFonts w:ascii="Times New Roman" w:hAnsi="Times New Roman" w:cs="Times New Roman"/>
          <w:sz w:val="28"/>
          <w:szCs w:val="28"/>
        </w:rPr>
        <w:t xml:space="preserve">Федеральной антимонопольной службе в 3-х месячный срок с даты вступления в силу изменений, предусмотренных пунктом </w:t>
      </w:r>
      <w:r w:rsidR="00D415D2">
        <w:rPr>
          <w:rFonts w:ascii="Times New Roman" w:hAnsi="Times New Roman" w:cs="Times New Roman"/>
          <w:sz w:val="28"/>
          <w:szCs w:val="28"/>
        </w:rPr>
        <w:t>1</w:t>
      </w:r>
      <w:r w:rsidRPr="00872F09">
        <w:rPr>
          <w:rFonts w:ascii="Times New Roman" w:hAnsi="Times New Roman" w:cs="Times New Roman"/>
          <w:sz w:val="28"/>
          <w:szCs w:val="28"/>
        </w:rPr>
        <w:t xml:space="preserve"> настоящего постановления, </w:t>
      </w:r>
      <w:r w:rsidR="00D415D2">
        <w:rPr>
          <w:rFonts w:ascii="Times New Roman" w:hAnsi="Times New Roman" w:cs="Times New Roman"/>
          <w:sz w:val="28"/>
          <w:szCs w:val="28"/>
        </w:rPr>
        <w:t xml:space="preserve">разработать </w:t>
      </w:r>
      <w:r w:rsidR="00D415D2" w:rsidRPr="00872F09">
        <w:rPr>
          <w:rFonts w:ascii="Times New Roman" w:hAnsi="Times New Roman" w:cs="Times New Roman"/>
          <w:sz w:val="28"/>
          <w:szCs w:val="28"/>
        </w:rPr>
        <w:t>методически</w:t>
      </w:r>
      <w:r w:rsidR="00D415D2">
        <w:rPr>
          <w:rFonts w:ascii="Times New Roman" w:hAnsi="Times New Roman" w:cs="Times New Roman"/>
          <w:sz w:val="28"/>
          <w:szCs w:val="28"/>
        </w:rPr>
        <w:t>е</w:t>
      </w:r>
      <w:r w:rsidR="00D415D2" w:rsidRPr="00872F09">
        <w:rPr>
          <w:rFonts w:ascii="Times New Roman" w:hAnsi="Times New Roman" w:cs="Times New Roman"/>
          <w:sz w:val="28"/>
          <w:szCs w:val="28"/>
        </w:rPr>
        <w:t xml:space="preserve"> указания по расчету сбытовых надбавок гарантирующих поставщиков</w:t>
      </w:r>
      <w:r w:rsidRPr="00872F09">
        <w:rPr>
          <w:rFonts w:ascii="Times New Roman" w:hAnsi="Times New Roman" w:cs="Times New Roman"/>
          <w:sz w:val="28"/>
          <w:szCs w:val="28"/>
        </w:rPr>
        <w:t>.</w:t>
      </w:r>
    </w:p>
    <w:p w:rsidR="003624F9" w:rsidRPr="00872F09" w:rsidRDefault="003624F9" w:rsidP="00872F09">
      <w:pPr>
        <w:widowControl w:val="0"/>
        <w:numPr>
          <w:ilvl w:val="0"/>
          <w:numId w:val="1"/>
        </w:numPr>
        <w:tabs>
          <w:tab w:val="left" w:pos="1418"/>
        </w:tabs>
        <w:spacing w:after="0" w:line="240" w:lineRule="auto"/>
        <w:ind w:firstLine="567"/>
        <w:jc w:val="both"/>
        <w:rPr>
          <w:rFonts w:ascii="Times New Roman" w:hAnsi="Times New Roman" w:cs="Times New Roman"/>
          <w:sz w:val="28"/>
          <w:szCs w:val="28"/>
        </w:rPr>
      </w:pPr>
      <w:r w:rsidRPr="00872F09">
        <w:rPr>
          <w:rFonts w:ascii="Times New Roman" w:hAnsi="Times New Roman" w:cs="Times New Roman"/>
          <w:sz w:val="28"/>
          <w:szCs w:val="28"/>
        </w:rPr>
        <w:t>Признать утратившим силу абзац второй пункта 11 постановления Правительства Российской Федерации от 29 декабря 2011 г. № 1178 «О ценообразовании в области регулируемых цен (тарифов) в электроэнергетике» со дня вступления в силу изменений, утвержденных настоящим постановлением.</w:t>
      </w:r>
    </w:p>
    <w:p w:rsidR="00872F09" w:rsidRPr="00872F09" w:rsidRDefault="00872F09" w:rsidP="00872F09">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872F09">
        <w:rPr>
          <w:rFonts w:ascii="Times New Roman" w:hAnsi="Times New Roman" w:cs="Times New Roman"/>
          <w:sz w:val="28"/>
          <w:szCs w:val="28"/>
        </w:rPr>
        <w:t>Настоящее постановление применяется к отношениям, связанным с государственным регулированием сбытовых надбавок гарантирующих поставщиков на 2017 год и последующие годы</w:t>
      </w:r>
      <w:r w:rsidR="00F94C4E">
        <w:rPr>
          <w:rFonts w:ascii="Times New Roman" w:hAnsi="Times New Roman" w:cs="Times New Roman"/>
          <w:sz w:val="28"/>
          <w:szCs w:val="28"/>
        </w:rPr>
        <w:t>.</w:t>
      </w:r>
    </w:p>
    <w:p w:rsidR="003624F9" w:rsidRPr="00872F09" w:rsidRDefault="003624F9" w:rsidP="00872F09">
      <w:pPr>
        <w:spacing w:after="0" w:line="240" w:lineRule="auto"/>
        <w:jc w:val="both"/>
        <w:rPr>
          <w:rFonts w:ascii="Times New Roman" w:hAnsi="Times New Roman" w:cs="Times New Roman"/>
          <w:sz w:val="28"/>
          <w:szCs w:val="28"/>
        </w:rPr>
      </w:pPr>
    </w:p>
    <w:p w:rsidR="003624F9" w:rsidRPr="00872F09" w:rsidRDefault="003624F9" w:rsidP="00872F09">
      <w:pPr>
        <w:spacing w:after="0" w:line="240" w:lineRule="auto"/>
        <w:rPr>
          <w:rStyle w:val="2"/>
          <w:rFonts w:eastAsiaTheme="minorHAnsi"/>
          <w:sz w:val="28"/>
          <w:szCs w:val="28"/>
        </w:rPr>
      </w:pPr>
    </w:p>
    <w:p w:rsidR="003624F9" w:rsidRPr="00872F09" w:rsidRDefault="003624F9" w:rsidP="00872F09">
      <w:pPr>
        <w:spacing w:after="0" w:line="240" w:lineRule="auto"/>
        <w:rPr>
          <w:rFonts w:ascii="Times New Roman" w:hAnsi="Times New Roman" w:cs="Times New Roman"/>
          <w:sz w:val="28"/>
          <w:szCs w:val="28"/>
        </w:rPr>
      </w:pPr>
      <w:r w:rsidRPr="00872F09">
        <w:rPr>
          <w:rFonts w:ascii="Times New Roman" w:hAnsi="Times New Roman" w:cs="Times New Roman"/>
          <w:sz w:val="28"/>
          <w:szCs w:val="28"/>
        </w:rPr>
        <w:t xml:space="preserve">Председатель Правительства </w:t>
      </w:r>
    </w:p>
    <w:p w:rsidR="003624F9" w:rsidRPr="00872F09" w:rsidRDefault="003624F9" w:rsidP="00872F09">
      <w:pPr>
        <w:spacing w:after="0" w:line="240" w:lineRule="auto"/>
        <w:rPr>
          <w:rFonts w:ascii="Times New Roman" w:hAnsi="Times New Roman" w:cs="Times New Roman"/>
          <w:sz w:val="28"/>
          <w:szCs w:val="28"/>
        </w:rPr>
      </w:pPr>
      <w:r w:rsidRPr="00872F09">
        <w:rPr>
          <w:rFonts w:ascii="Times New Roman" w:hAnsi="Times New Roman" w:cs="Times New Roman"/>
          <w:sz w:val="28"/>
          <w:szCs w:val="28"/>
        </w:rPr>
        <w:t>Российской Федерации</w:t>
      </w:r>
      <w:r w:rsidR="00872F09">
        <w:rPr>
          <w:rFonts w:ascii="Times New Roman" w:hAnsi="Times New Roman" w:cs="Times New Roman"/>
          <w:sz w:val="28"/>
          <w:szCs w:val="28"/>
        </w:rPr>
        <w:t xml:space="preserve"> </w:t>
      </w:r>
      <w:r w:rsidR="00872F09">
        <w:rPr>
          <w:rFonts w:ascii="Times New Roman" w:hAnsi="Times New Roman" w:cs="Times New Roman"/>
          <w:sz w:val="28"/>
          <w:szCs w:val="28"/>
        </w:rPr>
        <w:tab/>
      </w:r>
      <w:r w:rsidR="00872F09">
        <w:rPr>
          <w:rFonts w:ascii="Times New Roman" w:hAnsi="Times New Roman" w:cs="Times New Roman"/>
          <w:sz w:val="28"/>
          <w:szCs w:val="28"/>
        </w:rPr>
        <w:tab/>
      </w:r>
      <w:r w:rsidR="00872F09">
        <w:rPr>
          <w:rFonts w:ascii="Times New Roman" w:hAnsi="Times New Roman" w:cs="Times New Roman"/>
          <w:sz w:val="28"/>
          <w:szCs w:val="28"/>
        </w:rPr>
        <w:tab/>
      </w:r>
      <w:r w:rsidR="00872F09">
        <w:rPr>
          <w:rFonts w:ascii="Times New Roman" w:hAnsi="Times New Roman" w:cs="Times New Roman"/>
          <w:sz w:val="28"/>
          <w:szCs w:val="28"/>
        </w:rPr>
        <w:tab/>
      </w:r>
      <w:r w:rsidR="00872F09">
        <w:rPr>
          <w:rFonts w:ascii="Times New Roman" w:hAnsi="Times New Roman" w:cs="Times New Roman"/>
          <w:sz w:val="28"/>
          <w:szCs w:val="28"/>
        </w:rPr>
        <w:tab/>
      </w:r>
      <w:r w:rsidR="00872F09">
        <w:rPr>
          <w:rFonts w:ascii="Times New Roman" w:hAnsi="Times New Roman" w:cs="Times New Roman"/>
          <w:sz w:val="28"/>
          <w:szCs w:val="28"/>
        </w:rPr>
        <w:tab/>
      </w:r>
      <w:r w:rsidR="00872F09">
        <w:rPr>
          <w:rFonts w:ascii="Times New Roman" w:hAnsi="Times New Roman" w:cs="Times New Roman"/>
          <w:sz w:val="28"/>
          <w:szCs w:val="28"/>
        </w:rPr>
        <w:tab/>
      </w:r>
      <w:r w:rsidR="00872F09">
        <w:rPr>
          <w:rFonts w:ascii="Times New Roman" w:hAnsi="Times New Roman" w:cs="Times New Roman"/>
          <w:sz w:val="28"/>
          <w:szCs w:val="28"/>
        </w:rPr>
        <w:tab/>
      </w:r>
      <w:r w:rsidRPr="00872F09">
        <w:rPr>
          <w:rStyle w:val="2"/>
          <w:rFonts w:eastAsiaTheme="minorHAnsi"/>
          <w:sz w:val="28"/>
          <w:szCs w:val="28"/>
        </w:rPr>
        <w:t>Д. Медведев</w:t>
      </w:r>
      <w:r w:rsidRPr="00872F09">
        <w:rPr>
          <w:rFonts w:ascii="Times New Roman" w:hAnsi="Times New Roman" w:cs="Times New Roman"/>
          <w:sz w:val="28"/>
          <w:szCs w:val="28"/>
        </w:rPr>
        <w:t xml:space="preserve"> </w:t>
      </w:r>
    </w:p>
    <w:p w:rsidR="003624F9" w:rsidRPr="00872F09" w:rsidRDefault="003624F9" w:rsidP="00872F09">
      <w:pPr>
        <w:spacing w:after="0" w:line="240" w:lineRule="auto"/>
        <w:rPr>
          <w:rFonts w:ascii="Times New Roman" w:hAnsi="Times New Roman" w:cs="Times New Roman"/>
          <w:sz w:val="28"/>
          <w:szCs w:val="28"/>
        </w:rPr>
        <w:sectPr w:rsidR="003624F9" w:rsidRPr="00872F09">
          <w:headerReference w:type="even" r:id="rId8"/>
          <w:headerReference w:type="default" r:id="rId9"/>
          <w:footerReference w:type="even" r:id="rId10"/>
          <w:footerReference w:type="default" r:id="rId11"/>
          <w:headerReference w:type="first" r:id="rId12"/>
          <w:footerReference w:type="first" r:id="rId13"/>
          <w:pgSz w:w="11909" w:h="16840"/>
          <w:pgMar w:top="1240" w:right="648" w:bottom="1240" w:left="1166" w:header="0" w:footer="3" w:gutter="0"/>
          <w:cols w:space="720"/>
          <w:noEndnote/>
          <w:docGrid w:linePitch="360"/>
        </w:sectPr>
      </w:pPr>
    </w:p>
    <w:p w:rsidR="003624F9" w:rsidRPr="00872F09" w:rsidRDefault="003624F9" w:rsidP="00872F09">
      <w:pPr>
        <w:pStyle w:val="30"/>
        <w:shd w:val="clear" w:color="auto" w:fill="auto"/>
        <w:tabs>
          <w:tab w:val="left" w:pos="9146"/>
        </w:tabs>
        <w:spacing w:line="240" w:lineRule="auto"/>
        <w:ind w:firstLine="360"/>
        <w:jc w:val="right"/>
        <w:rPr>
          <w:b w:val="0"/>
          <w:sz w:val="28"/>
          <w:szCs w:val="28"/>
        </w:rPr>
      </w:pPr>
      <w:r w:rsidRPr="00872F09">
        <w:rPr>
          <w:b w:val="0"/>
          <w:sz w:val="28"/>
          <w:szCs w:val="28"/>
        </w:rPr>
        <w:lastRenderedPageBreak/>
        <w:t xml:space="preserve">Утверждены </w:t>
      </w:r>
    </w:p>
    <w:p w:rsidR="003624F9" w:rsidRPr="00872F09" w:rsidRDefault="003624F9" w:rsidP="00872F09">
      <w:pPr>
        <w:pStyle w:val="30"/>
        <w:shd w:val="clear" w:color="auto" w:fill="auto"/>
        <w:tabs>
          <w:tab w:val="left" w:pos="9146"/>
        </w:tabs>
        <w:spacing w:line="240" w:lineRule="auto"/>
        <w:ind w:firstLine="360"/>
        <w:jc w:val="right"/>
        <w:rPr>
          <w:b w:val="0"/>
          <w:sz w:val="28"/>
          <w:szCs w:val="28"/>
        </w:rPr>
      </w:pPr>
      <w:r w:rsidRPr="00872F09">
        <w:rPr>
          <w:b w:val="0"/>
          <w:sz w:val="28"/>
          <w:szCs w:val="28"/>
        </w:rPr>
        <w:t xml:space="preserve">постановлением Правительства </w:t>
      </w:r>
    </w:p>
    <w:p w:rsidR="003624F9" w:rsidRPr="00872F09" w:rsidRDefault="003624F9" w:rsidP="00872F09">
      <w:pPr>
        <w:pStyle w:val="30"/>
        <w:shd w:val="clear" w:color="auto" w:fill="auto"/>
        <w:tabs>
          <w:tab w:val="left" w:pos="9146"/>
        </w:tabs>
        <w:spacing w:line="240" w:lineRule="auto"/>
        <w:ind w:firstLine="360"/>
        <w:jc w:val="right"/>
        <w:rPr>
          <w:b w:val="0"/>
          <w:sz w:val="28"/>
          <w:szCs w:val="28"/>
        </w:rPr>
      </w:pPr>
      <w:r w:rsidRPr="00872F09">
        <w:rPr>
          <w:b w:val="0"/>
          <w:sz w:val="28"/>
          <w:szCs w:val="28"/>
        </w:rPr>
        <w:t xml:space="preserve">Российской Федерации </w:t>
      </w:r>
    </w:p>
    <w:p w:rsidR="003624F9" w:rsidRPr="00872F09" w:rsidRDefault="003624F9" w:rsidP="00872F09">
      <w:pPr>
        <w:pStyle w:val="30"/>
        <w:shd w:val="clear" w:color="auto" w:fill="auto"/>
        <w:tabs>
          <w:tab w:val="left" w:pos="9146"/>
        </w:tabs>
        <w:spacing w:line="240" w:lineRule="auto"/>
        <w:ind w:firstLine="360"/>
        <w:jc w:val="right"/>
        <w:rPr>
          <w:b w:val="0"/>
          <w:sz w:val="28"/>
          <w:szCs w:val="28"/>
        </w:rPr>
      </w:pPr>
      <w:r w:rsidRPr="00872F09">
        <w:rPr>
          <w:b w:val="0"/>
          <w:sz w:val="28"/>
          <w:szCs w:val="28"/>
        </w:rPr>
        <w:t>от_____ №____</w:t>
      </w:r>
    </w:p>
    <w:p w:rsidR="003624F9" w:rsidRPr="00872F09" w:rsidRDefault="003624F9" w:rsidP="00872F09">
      <w:pPr>
        <w:pStyle w:val="30"/>
        <w:shd w:val="clear" w:color="auto" w:fill="auto"/>
        <w:tabs>
          <w:tab w:val="left" w:pos="9146"/>
        </w:tabs>
        <w:spacing w:line="240" w:lineRule="auto"/>
        <w:ind w:firstLine="360"/>
        <w:jc w:val="right"/>
        <w:rPr>
          <w:sz w:val="28"/>
          <w:szCs w:val="28"/>
        </w:rPr>
      </w:pPr>
    </w:p>
    <w:p w:rsidR="003624F9" w:rsidRPr="00872F09" w:rsidRDefault="003624F9" w:rsidP="00872F09">
      <w:pPr>
        <w:pStyle w:val="30"/>
        <w:shd w:val="clear" w:color="auto" w:fill="auto"/>
        <w:spacing w:line="240" w:lineRule="auto"/>
        <w:rPr>
          <w:sz w:val="28"/>
          <w:szCs w:val="28"/>
        </w:rPr>
      </w:pPr>
      <w:r w:rsidRPr="00872F09">
        <w:rPr>
          <w:sz w:val="28"/>
          <w:szCs w:val="28"/>
        </w:rPr>
        <w:t xml:space="preserve">Изменения, которые вносятся в </w:t>
      </w:r>
      <w:r w:rsidR="00B87D73" w:rsidRPr="00872F09">
        <w:rPr>
          <w:sz w:val="28"/>
          <w:szCs w:val="28"/>
        </w:rPr>
        <w:t xml:space="preserve">акты </w:t>
      </w:r>
      <w:r w:rsidRPr="00872F09">
        <w:rPr>
          <w:sz w:val="28"/>
          <w:szCs w:val="28"/>
        </w:rPr>
        <w:t>Правительства Российской Федерации</w:t>
      </w:r>
      <w:r w:rsidR="00B87D73" w:rsidRPr="00872F09">
        <w:rPr>
          <w:sz w:val="28"/>
          <w:szCs w:val="28"/>
        </w:rPr>
        <w:t>,</w:t>
      </w:r>
      <w:r w:rsidRPr="00872F09">
        <w:rPr>
          <w:sz w:val="28"/>
          <w:szCs w:val="28"/>
        </w:rPr>
        <w:t xml:space="preserve"> по вопросу установления сбытовых надбавок гарантирующих поставщиков с использованием метода сравнения аналогов</w:t>
      </w:r>
    </w:p>
    <w:p w:rsidR="00B87D73" w:rsidRPr="00872F09" w:rsidRDefault="00B87D73" w:rsidP="00872F09">
      <w:pPr>
        <w:pStyle w:val="30"/>
        <w:shd w:val="clear" w:color="auto" w:fill="auto"/>
        <w:spacing w:line="240" w:lineRule="auto"/>
        <w:ind w:firstLine="360"/>
        <w:jc w:val="both"/>
        <w:rPr>
          <w:sz w:val="28"/>
          <w:szCs w:val="28"/>
        </w:rPr>
      </w:pPr>
    </w:p>
    <w:p w:rsidR="003624F9" w:rsidRPr="00872F09" w:rsidRDefault="003624F9" w:rsidP="00872F09">
      <w:pPr>
        <w:pStyle w:val="ConsPlusNormal"/>
        <w:ind w:firstLine="540"/>
        <w:jc w:val="both"/>
        <w:rPr>
          <w:sz w:val="28"/>
          <w:szCs w:val="28"/>
        </w:rPr>
      </w:pPr>
      <w:r w:rsidRPr="00872F09">
        <w:rPr>
          <w:sz w:val="28"/>
          <w:szCs w:val="28"/>
        </w:rPr>
        <w:t>1. В Основах ценообразования в области регулируемых цен (тарифов) в электроэнергетике, утвержденных постановлением</w:t>
      </w:r>
      <w:r w:rsidR="00B87D73" w:rsidRPr="00872F09">
        <w:rPr>
          <w:sz w:val="28"/>
          <w:szCs w:val="28"/>
        </w:rPr>
        <w:t xml:space="preserve"> Правительства Российской Федерации от 29 декабря 2011 г. (Собрание законодательства Российской Федерации</w:t>
      </w:r>
      <w:r w:rsidR="00A14D96" w:rsidRPr="00872F09">
        <w:rPr>
          <w:sz w:val="28"/>
          <w:szCs w:val="28"/>
        </w:rPr>
        <w:t>, 2012, № 4, ст. 504; № 23, ст. 3008; № 28, ст. 3897; № 41, ст. 5636; 2013, № 1, ст. 68; № 31, ст. 4216; № 44, ст. 5754; № 47, ст. 6105; 2014, № 8, ст. 813; № 9, ст. 919; № 11, ст. 1156; №25, ст. 3311)</w:t>
      </w:r>
      <w:r w:rsidRPr="00872F09">
        <w:rPr>
          <w:sz w:val="28"/>
          <w:szCs w:val="28"/>
        </w:rPr>
        <w:t>:</w:t>
      </w:r>
    </w:p>
    <w:p w:rsidR="003624F9" w:rsidRPr="00872F09" w:rsidRDefault="003624F9" w:rsidP="00872F09">
      <w:pPr>
        <w:tabs>
          <w:tab w:val="left" w:pos="1098"/>
        </w:tabs>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а)</w:t>
      </w:r>
      <w:r w:rsidRPr="00872F09">
        <w:rPr>
          <w:rFonts w:ascii="Times New Roman" w:hAnsi="Times New Roman" w:cs="Times New Roman"/>
          <w:sz w:val="28"/>
          <w:szCs w:val="28"/>
        </w:rPr>
        <w:tab/>
        <w:t>пункт 2 после абзаца двадцать девятого дополнить абзацами следующего содержания:</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«расчетная предпринимательская прибыль гарантирующего поставщика» - величина,</w:t>
      </w:r>
      <w:r w:rsidR="00B87D73" w:rsidRPr="00872F09">
        <w:rPr>
          <w:rFonts w:ascii="Times New Roman" w:hAnsi="Times New Roman" w:cs="Times New Roman"/>
          <w:sz w:val="28"/>
          <w:szCs w:val="28"/>
        </w:rPr>
        <w:t xml:space="preserve"> </w:t>
      </w:r>
      <w:r w:rsidRPr="00872F09">
        <w:rPr>
          <w:rFonts w:ascii="Times New Roman" w:hAnsi="Times New Roman" w:cs="Times New Roman"/>
          <w:sz w:val="28"/>
          <w:szCs w:val="28"/>
        </w:rPr>
        <w:t>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«эталон затрат</w:t>
      </w:r>
      <w:r w:rsidR="00B87D73" w:rsidRPr="00872F09">
        <w:rPr>
          <w:rFonts w:ascii="Times New Roman" w:hAnsi="Times New Roman" w:cs="Times New Roman"/>
          <w:sz w:val="28"/>
          <w:szCs w:val="28"/>
        </w:rPr>
        <w:t xml:space="preserve"> гарантирующего поставщика</w:t>
      </w:r>
      <w:r w:rsidRPr="00872F09">
        <w:rPr>
          <w:rFonts w:ascii="Times New Roman" w:hAnsi="Times New Roman" w:cs="Times New Roman"/>
          <w:sz w:val="28"/>
          <w:szCs w:val="28"/>
        </w:rPr>
        <w:t>» - экономически обоснованная величина затрат, связанных с осуществлением регулируемой деятельности в качестве гарантирующего поставщика, определяемая метод</w:t>
      </w:r>
      <w:r w:rsidR="004240B3" w:rsidRPr="00872F09">
        <w:rPr>
          <w:rFonts w:ascii="Times New Roman" w:hAnsi="Times New Roman" w:cs="Times New Roman"/>
          <w:sz w:val="28"/>
          <w:szCs w:val="28"/>
        </w:rPr>
        <w:t>ом</w:t>
      </w:r>
      <w:r w:rsidRPr="00872F09">
        <w:rPr>
          <w:rFonts w:ascii="Times New Roman" w:hAnsi="Times New Roman" w:cs="Times New Roman"/>
          <w:sz w:val="28"/>
          <w:szCs w:val="28"/>
        </w:rPr>
        <w:t xml:space="preserve"> сравнения аналогов, устанавливаемая по статьям расходов, предусмотренным настоящим документом и методическими указаниями по расчету сбытовых надбавок гарантирующих поставщиков, утверждаемы</w:t>
      </w:r>
      <w:r w:rsidR="00B87D73" w:rsidRPr="00872F09">
        <w:rPr>
          <w:rFonts w:ascii="Times New Roman" w:hAnsi="Times New Roman" w:cs="Times New Roman"/>
          <w:sz w:val="28"/>
          <w:szCs w:val="28"/>
        </w:rPr>
        <w:t>ми</w:t>
      </w:r>
      <w:r w:rsidRPr="00872F09">
        <w:rPr>
          <w:rFonts w:ascii="Times New Roman" w:hAnsi="Times New Roman" w:cs="Times New Roman"/>
          <w:sz w:val="28"/>
          <w:szCs w:val="28"/>
        </w:rPr>
        <w:t xml:space="preserve"> Федеральной антимонопольной службой;</w:t>
      </w:r>
    </w:p>
    <w:p w:rsidR="004240B3" w:rsidRPr="00872F09" w:rsidRDefault="004240B3"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 согласно методическим указаниям по расчету сбытовых надбавок гарантирующих поставщиков, утверждаемым Федер</w:t>
      </w:r>
      <w:r w:rsidR="00872F09">
        <w:rPr>
          <w:rFonts w:ascii="Times New Roman" w:hAnsi="Times New Roman" w:cs="Times New Roman"/>
          <w:sz w:val="28"/>
          <w:szCs w:val="28"/>
        </w:rPr>
        <w:t>альной антимонопольной службой;</w:t>
      </w:r>
    </w:p>
    <w:p w:rsidR="00542F6E" w:rsidRDefault="004240B3"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«выпадающие доходы»</w:t>
      </w:r>
      <w:r w:rsidR="00872F09">
        <w:rPr>
          <w:rFonts w:ascii="Times New Roman" w:hAnsi="Times New Roman" w:cs="Times New Roman"/>
          <w:sz w:val="28"/>
          <w:szCs w:val="28"/>
        </w:rPr>
        <w:t xml:space="preserve"> </w:t>
      </w:r>
      <w:r w:rsidRPr="00872F09">
        <w:rPr>
          <w:rFonts w:ascii="Times New Roman" w:hAnsi="Times New Roman" w:cs="Times New Roman"/>
          <w:sz w:val="28"/>
          <w:szCs w:val="28"/>
        </w:rPr>
        <w:t xml:space="preserve">- </w:t>
      </w:r>
      <w:r w:rsidR="00872F09">
        <w:rPr>
          <w:rFonts w:ascii="Times New Roman" w:hAnsi="Times New Roman" w:cs="Times New Roman"/>
          <w:sz w:val="28"/>
          <w:szCs w:val="28"/>
        </w:rPr>
        <w:t xml:space="preserve">доходы, не учитываемые при установлении регулируемых цен (тарифов) </w:t>
      </w:r>
      <w:r w:rsidR="00B36E45">
        <w:rPr>
          <w:rFonts w:ascii="Times New Roman" w:hAnsi="Times New Roman" w:cs="Times New Roman"/>
          <w:sz w:val="28"/>
          <w:szCs w:val="28"/>
        </w:rPr>
        <w:t xml:space="preserve">по соответствующим регулируемым видам деятельности в электроэнергетике и (или) для соответствующей группы потребителей в случае дифференциации в соответствии с настоящим документом цен (тарифов) по группам потребителей, если в соответствии с настоящим документом предусматривается их учет при установлении регулируемых цен (тарифов) по другим видам деятельности и (или) для </w:t>
      </w:r>
      <w:r w:rsidR="00B36E45">
        <w:rPr>
          <w:rFonts w:ascii="Times New Roman" w:hAnsi="Times New Roman" w:cs="Times New Roman"/>
          <w:sz w:val="28"/>
          <w:szCs w:val="28"/>
        </w:rPr>
        <w:lastRenderedPageBreak/>
        <w:t>других групп потребителей в случае дифференциации цен (тарифов) по группам потребителей, а также в случае их возмещения за счет бюджетных средств</w:t>
      </w:r>
      <w:r w:rsidR="003F496C">
        <w:rPr>
          <w:rFonts w:ascii="Times New Roman" w:hAnsi="Times New Roman" w:cs="Times New Roman"/>
          <w:sz w:val="28"/>
          <w:szCs w:val="28"/>
        </w:rPr>
        <w:t xml:space="preserve"> в соответствии с бюджетным законодательством Российской Федерации</w:t>
      </w:r>
      <w:r w:rsidR="00542F6E">
        <w:rPr>
          <w:rFonts w:ascii="Times New Roman" w:hAnsi="Times New Roman" w:cs="Times New Roman"/>
          <w:sz w:val="28"/>
          <w:szCs w:val="28"/>
        </w:rPr>
        <w:t>;</w:t>
      </w:r>
    </w:p>
    <w:p w:rsidR="004240B3" w:rsidRPr="00872F09" w:rsidRDefault="00542F6E" w:rsidP="00872F0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«недополученные/излишне полученные доходы» - отклонение полученных доходов от осуществления регулируемого вида деятельности за расчетный период регулирования от необходимой валовой выручки, </w:t>
      </w:r>
      <w:r w:rsidR="00C32B49">
        <w:rPr>
          <w:rFonts w:ascii="Times New Roman" w:hAnsi="Times New Roman" w:cs="Times New Roman"/>
          <w:sz w:val="28"/>
          <w:szCs w:val="28"/>
        </w:rPr>
        <w:t>учтенной при установлении регулируемых цен (тарифов) на указанный период регулирования.»</w:t>
      </w:r>
      <w:r w:rsidR="003F496C">
        <w:rPr>
          <w:rFonts w:ascii="Times New Roman" w:hAnsi="Times New Roman" w:cs="Times New Roman"/>
          <w:sz w:val="28"/>
          <w:szCs w:val="28"/>
        </w:rPr>
        <w:t>;</w:t>
      </w:r>
    </w:p>
    <w:p w:rsidR="003624F9" w:rsidRPr="00872F09" w:rsidRDefault="003624F9" w:rsidP="00872F09">
      <w:pPr>
        <w:tabs>
          <w:tab w:val="left" w:pos="1118"/>
        </w:tabs>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б)</w:t>
      </w:r>
      <w:r w:rsidRPr="00872F09">
        <w:rPr>
          <w:rFonts w:ascii="Times New Roman" w:hAnsi="Times New Roman" w:cs="Times New Roman"/>
          <w:sz w:val="28"/>
          <w:szCs w:val="28"/>
        </w:rPr>
        <w:tab/>
        <w:t>пункт 7 дополнить абзацем следующего содержания:</w:t>
      </w:r>
    </w:p>
    <w:p w:rsidR="004240B3" w:rsidRPr="00872F09" w:rsidRDefault="004240B3" w:rsidP="00872F09">
      <w:pPr>
        <w:tabs>
          <w:tab w:val="left" w:pos="1118"/>
        </w:tabs>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учтенных при установлении сбытовых надбавок (далее - излишне полученные доходы),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пунктом 65 настоящего документа, в том числе с учетом перехода на регулирование методом сравнения аналогов.»;</w:t>
      </w:r>
    </w:p>
    <w:p w:rsidR="003624F9" w:rsidRPr="00872F09" w:rsidRDefault="003624F9" w:rsidP="00872F09">
      <w:pPr>
        <w:tabs>
          <w:tab w:val="left" w:pos="1118"/>
        </w:tabs>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в)</w:t>
      </w:r>
      <w:r w:rsidRPr="00872F09">
        <w:rPr>
          <w:rFonts w:ascii="Times New Roman" w:hAnsi="Times New Roman" w:cs="Times New Roman"/>
          <w:sz w:val="28"/>
          <w:szCs w:val="28"/>
        </w:rPr>
        <w:tab/>
        <w:t>в абзаце четвертом пункта 63 слова «65 и 65(1) » заменить словами «65 - 65(3) »;</w:t>
      </w:r>
    </w:p>
    <w:p w:rsidR="003624F9" w:rsidRPr="00872F09" w:rsidRDefault="003624F9" w:rsidP="00872F09">
      <w:pPr>
        <w:tabs>
          <w:tab w:val="left" w:pos="1118"/>
        </w:tabs>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г)</w:t>
      </w:r>
      <w:r w:rsidRPr="00872F09">
        <w:rPr>
          <w:rFonts w:ascii="Times New Roman" w:hAnsi="Times New Roman" w:cs="Times New Roman"/>
          <w:sz w:val="28"/>
          <w:szCs w:val="28"/>
        </w:rPr>
        <w:tab/>
        <w:t>пункт 65 изложить в следующей редакции:</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«Величина сбытовой надбавки гарантирующего поставщика устанавливается в рублях за единицу электрической энергии (мощности) в соответствии с методическими указаниями, утверждаемыми Федеральной антимонопольной службой.</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При определении необходимой валовой выручки для расчета сбытовых надбавок учитываются в соответствии с методическими указаниями по расчету сбытовых надбавок гарантирующих поставщиков, утверждаемыми Федеральной антимонопольной службой:</w:t>
      </w:r>
    </w:p>
    <w:p w:rsidR="004240B3" w:rsidRPr="00872F09" w:rsidRDefault="004240B3" w:rsidP="00872F09">
      <w:pPr>
        <w:spacing w:after="0" w:line="240" w:lineRule="auto"/>
        <w:ind w:firstLine="567"/>
        <w:jc w:val="both"/>
        <w:rPr>
          <w:rFonts w:ascii="Times New Roman" w:hAnsi="Times New Roman" w:cs="Times New Roman"/>
          <w:sz w:val="28"/>
          <w:szCs w:val="28"/>
        </w:rPr>
      </w:pPr>
      <w:r w:rsidRPr="00872F09">
        <w:rPr>
          <w:rFonts w:ascii="Times New Roman" w:hAnsi="Times New Roman" w:cs="Times New Roman"/>
          <w:sz w:val="28"/>
          <w:szCs w:val="28"/>
        </w:rP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rsidR="003624F9" w:rsidRPr="00872F09" w:rsidRDefault="003624F9" w:rsidP="00872F09">
      <w:pPr>
        <w:spacing w:after="0" w:line="240" w:lineRule="auto"/>
        <w:ind w:firstLine="567"/>
        <w:jc w:val="both"/>
        <w:rPr>
          <w:rFonts w:ascii="Times New Roman" w:hAnsi="Times New Roman" w:cs="Times New Roman"/>
          <w:sz w:val="28"/>
          <w:szCs w:val="28"/>
        </w:rPr>
      </w:pPr>
      <w:r w:rsidRPr="00872F09">
        <w:rPr>
          <w:rFonts w:ascii="Times New Roman" w:hAnsi="Times New Roman" w:cs="Times New Roman"/>
          <w:sz w:val="28"/>
          <w:szCs w:val="28"/>
        </w:rPr>
        <w:t>эталонная выручка гарантирующего поставщика;</w:t>
      </w:r>
    </w:p>
    <w:p w:rsidR="003624F9" w:rsidRPr="00872F09" w:rsidRDefault="003624F9" w:rsidP="00872F09">
      <w:pPr>
        <w:spacing w:after="0" w:line="240" w:lineRule="auto"/>
        <w:ind w:firstLine="567"/>
        <w:jc w:val="both"/>
        <w:rPr>
          <w:rFonts w:ascii="Times New Roman" w:hAnsi="Times New Roman" w:cs="Times New Roman"/>
          <w:sz w:val="28"/>
          <w:szCs w:val="28"/>
        </w:rPr>
      </w:pPr>
      <w:r w:rsidRPr="00872F09">
        <w:rPr>
          <w:rFonts w:ascii="Times New Roman" w:hAnsi="Times New Roman" w:cs="Times New Roman"/>
          <w:sz w:val="28"/>
          <w:szCs w:val="28"/>
        </w:rPr>
        <w:t>величина перекрестного субсидирования, определенная в соответствии с пунктом 65(1) настоящего документа (в случае установления сбытовых надбавок гарантирующих поставщиков в отношении сетевых организаций);</w:t>
      </w:r>
    </w:p>
    <w:p w:rsidR="004240B3" w:rsidRPr="00872F09" w:rsidRDefault="004240B3" w:rsidP="00872F09">
      <w:pPr>
        <w:spacing w:after="0" w:line="240" w:lineRule="auto"/>
        <w:ind w:firstLine="567"/>
        <w:jc w:val="both"/>
        <w:rPr>
          <w:rFonts w:ascii="Times New Roman" w:hAnsi="Times New Roman" w:cs="Times New Roman"/>
          <w:sz w:val="28"/>
          <w:szCs w:val="28"/>
        </w:rPr>
      </w:pPr>
      <w:r w:rsidRPr="00872F09">
        <w:rPr>
          <w:rFonts w:ascii="Times New Roman" w:hAnsi="Times New Roman" w:cs="Times New Roman"/>
          <w:sz w:val="28"/>
          <w:szCs w:val="28"/>
        </w:rPr>
        <w:t>выпадающие, недополученные/излишне полученные доходы от осуществления деятельности в качестве гарантирующего поставщика за предшествующий период регулирования, обусловленные:</w:t>
      </w:r>
    </w:p>
    <w:p w:rsidR="003624F9" w:rsidRPr="00872F09" w:rsidRDefault="003624F9" w:rsidP="00872F09">
      <w:pPr>
        <w:spacing w:after="0" w:line="240" w:lineRule="auto"/>
        <w:ind w:firstLine="567"/>
        <w:jc w:val="both"/>
        <w:rPr>
          <w:rFonts w:ascii="Times New Roman" w:hAnsi="Times New Roman" w:cs="Times New Roman"/>
          <w:sz w:val="28"/>
          <w:szCs w:val="28"/>
        </w:rPr>
      </w:pPr>
      <w:r w:rsidRPr="00872F09">
        <w:rPr>
          <w:rFonts w:ascii="Times New Roman" w:hAnsi="Times New Roman" w:cs="Times New Roman"/>
          <w:sz w:val="28"/>
          <w:szCs w:val="28"/>
        </w:rPr>
        <w:lastRenderedPageBreak/>
        <w:t>отклонением фактической величины перекрестного субсидирования, определенной в соответствии с пунктом 65(1) настоящего документа, от учтенной при установлении сбытовых надбавок гарантирующего поставщика в отноше</w:t>
      </w:r>
      <w:r w:rsidRPr="00872F09">
        <w:rPr>
          <w:rStyle w:val="2"/>
          <w:rFonts w:eastAsiaTheme="minorHAnsi"/>
          <w:sz w:val="28"/>
          <w:szCs w:val="28"/>
        </w:rPr>
        <w:t>нии</w:t>
      </w:r>
      <w:r w:rsidRPr="00872F09">
        <w:rPr>
          <w:rFonts w:ascii="Times New Roman" w:hAnsi="Times New Roman" w:cs="Times New Roman"/>
          <w:sz w:val="28"/>
          <w:szCs w:val="28"/>
        </w:rPr>
        <w:t xml:space="preserve"> сетевых организаций;</w:t>
      </w:r>
    </w:p>
    <w:p w:rsidR="004240B3" w:rsidRPr="00872F09" w:rsidRDefault="004240B3"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организацией принятия им на обслуживание покупателей электрической энергии в случаях, установленных пунктом 15 Основных положений функционирования розничных рынков электрической энергии;</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установлением цен (тарифов) на электрическую энергию (мощность), поставляемую населению и приравненным к нему категориям потребителей и (или)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иные </w:t>
      </w:r>
      <w:r w:rsidR="000F7188" w:rsidRPr="00872F09">
        <w:rPr>
          <w:rFonts w:ascii="Times New Roman" w:hAnsi="Times New Roman" w:cs="Times New Roman"/>
          <w:sz w:val="28"/>
          <w:szCs w:val="28"/>
        </w:rPr>
        <w:t xml:space="preserve">выпадающие, недополученные/излишне полученные доходы </w:t>
      </w:r>
      <w:r w:rsidRPr="00872F09">
        <w:rPr>
          <w:rFonts w:ascii="Times New Roman" w:hAnsi="Times New Roman" w:cs="Times New Roman"/>
          <w:sz w:val="28"/>
          <w:szCs w:val="28"/>
        </w:rPr>
        <w:t>от осуществления деятельности в качестве гарантирующего поставщика, определяемые в соответствии с методическими указаниями, утверждаемыми Федеральной антимонопольной службой.</w:t>
      </w:r>
    </w:p>
    <w:p w:rsidR="001C49B9" w:rsidRPr="00872F09" w:rsidRDefault="000F7188"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При использовании метода сравнения аналогов для определения необходимой валовой выручки для расчета сбытовых надбавок, при определении величины выпадающих (излишне полученных) доходов гарантирующего поставщика, не учитывается отклонение фактических расходов от эталонов затрат гарантирующего поставщика в доле, соответствующей доле эталонной выручки гарантирующего поставщика в совокупной величине необходимой валовой выручки. Недополученные/излишне полученные доходы, сформировавшиеся за период до 31 декабря 2016 года, учитываются в полном объеме.</w:t>
      </w:r>
    </w:p>
    <w:p w:rsidR="00080927" w:rsidRPr="00872F09" w:rsidRDefault="000F7188" w:rsidP="00872F09">
      <w:pPr>
        <w:spacing w:after="0" w:line="240" w:lineRule="auto"/>
        <w:ind w:firstLine="567"/>
        <w:jc w:val="both"/>
        <w:rPr>
          <w:rFonts w:ascii="Times New Roman" w:hAnsi="Times New Roman" w:cs="Times New Roman"/>
          <w:sz w:val="28"/>
          <w:szCs w:val="28"/>
        </w:rPr>
      </w:pPr>
      <w:r w:rsidRPr="00872F09">
        <w:rPr>
          <w:rFonts w:ascii="Times New Roman" w:hAnsi="Times New Roman" w:cs="Times New Roman"/>
          <w:sz w:val="28"/>
          <w:szCs w:val="28"/>
        </w:rPr>
        <w:t>Доля расходов гарантирующего поставщика, определяемых методом экономически обоснованных затрат, учитываемая при определении необходимой валовой выручки, устанавливается:</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на 2017 год - 0,7;</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на 2018 год - 0,5;</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на 2019 год - 0,3;</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на 2020 год и далее - 0.</w:t>
      </w:r>
    </w:p>
    <w:p w:rsidR="000F7188" w:rsidRPr="00872F09" w:rsidRDefault="000F7188" w:rsidP="00872F09">
      <w:pPr>
        <w:spacing w:after="0" w:line="240" w:lineRule="auto"/>
        <w:ind w:firstLine="567"/>
        <w:jc w:val="both"/>
        <w:rPr>
          <w:rFonts w:ascii="Times New Roman" w:hAnsi="Times New Roman" w:cs="Times New Roman"/>
          <w:sz w:val="28"/>
          <w:szCs w:val="28"/>
        </w:rPr>
      </w:pPr>
      <w:r w:rsidRPr="00872F09">
        <w:rPr>
          <w:rFonts w:ascii="Times New Roman" w:hAnsi="Times New Roman" w:cs="Times New Roman"/>
          <w:sz w:val="28"/>
          <w:szCs w:val="28"/>
        </w:rPr>
        <w:t xml:space="preserve">Сумма долей расходов гарантирующего поставщика, определяемых методом экономически обоснованных затрат, и эталонной выручки </w:t>
      </w:r>
      <w:r w:rsidRPr="00872F09">
        <w:rPr>
          <w:rFonts w:ascii="Times New Roman" w:hAnsi="Times New Roman" w:cs="Times New Roman"/>
          <w:sz w:val="28"/>
          <w:szCs w:val="28"/>
        </w:rPr>
        <w:lastRenderedPageBreak/>
        <w:t>гарантирующего поставщика</w:t>
      </w:r>
      <w:r w:rsidRPr="00872F09">
        <w:rPr>
          <w:rFonts w:ascii="Times New Roman" w:hAnsi="Times New Roman" w:cs="Times New Roman"/>
          <w:b/>
          <w:sz w:val="28"/>
          <w:szCs w:val="28"/>
        </w:rPr>
        <w:t xml:space="preserve"> </w:t>
      </w:r>
      <w:r w:rsidRPr="00872F09">
        <w:rPr>
          <w:rFonts w:ascii="Times New Roman" w:hAnsi="Times New Roman" w:cs="Times New Roman"/>
          <w:sz w:val="28"/>
          <w:szCs w:val="28"/>
        </w:rPr>
        <w:t>в каждый из указанных периодов должна составлять единицу.</w:t>
      </w:r>
    </w:p>
    <w:p w:rsidR="007D259D" w:rsidRPr="00872F09" w:rsidRDefault="000F7188" w:rsidP="00872F09">
      <w:pPr>
        <w:spacing w:after="0" w:line="240" w:lineRule="auto"/>
        <w:ind w:firstLine="567"/>
        <w:jc w:val="both"/>
        <w:rPr>
          <w:rFonts w:ascii="Times New Roman" w:hAnsi="Times New Roman" w:cs="Times New Roman"/>
          <w:sz w:val="28"/>
          <w:szCs w:val="28"/>
        </w:rPr>
      </w:pPr>
      <w:r w:rsidRPr="00872F09">
        <w:rPr>
          <w:rFonts w:ascii="Times New Roman" w:hAnsi="Times New Roman" w:cs="Times New Roman"/>
          <w:sz w:val="28"/>
          <w:szCs w:val="28"/>
        </w:rPr>
        <w:t>Экономически обоснованные расходы организации, в отношении которой ранее осуществлялось регулирование сбытовых надбавок, либо, в случае осуществления реорганизации с учетом положений пункта 200 основных положений функционирования розничных рынков - для правопреемника такой организации (в отношении соответствующей зоны деятельности), связанные с обеспечением ее регулируемой деятельности в качестве гарантирующего поставщика, определяются в порядке, установленном методическими указаниями по расчету сбытовых надбавок гарантирующих поставщиков, путем ежегодной индексации на индекс потребительских цен в соответствии с прогнозом социально- экономического развития Российской Федерации на соответствующий год, умноженного на коэффициент 0,9, последнего значения величины необходимой валовой выручки организации, в отношении которой ранее осуществлялось регулирование сбытовых надбавок (за исключением учтенной при ее установлении величины недополученных/ излишне полученных доходов гарантирующего поставщика), определенной методом экономически обоснованных расходов и поправочного коэффициента, учитывающего изменения объема и структуры потребителей гарантирующего поставщика.</w:t>
      </w:r>
    </w:p>
    <w:p w:rsidR="003624F9" w:rsidRPr="00872F09" w:rsidRDefault="003624F9" w:rsidP="00C32B4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Эталонная выручка </w:t>
      </w:r>
      <w:r w:rsidR="00E44157" w:rsidRPr="00872F09">
        <w:rPr>
          <w:rFonts w:ascii="Times New Roman" w:hAnsi="Times New Roman" w:cs="Times New Roman"/>
          <w:sz w:val="28"/>
          <w:szCs w:val="28"/>
        </w:rPr>
        <w:t xml:space="preserve">гарантирующего поставщика </w:t>
      </w:r>
      <w:r w:rsidRPr="00872F09">
        <w:rPr>
          <w:rFonts w:ascii="Times New Roman" w:hAnsi="Times New Roman" w:cs="Times New Roman"/>
          <w:sz w:val="28"/>
          <w:szCs w:val="28"/>
        </w:rPr>
        <w:t>определяется методом сравнения аналогов</w:t>
      </w:r>
      <w:r w:rsidR="000F7188" w:rsidRPr="00872F09">
        <w:rPr>
          <w:rFonts w:ascii="Times New Roman" w:hAnsi="Times New Roman" w:cs="Times New Roman"/>
          <w:sz w:val="28"/>
          <w:szCs w:val="28"/>
        </w:rPr>
        <w:t>, предусматривающим в том числе нормирование затрат по статьям расходов,</w:t>
      </w:r>
      <w:r w:rsidRPr="00872F09">
        <w:rPr>
          <w:rFonts w:ascii="Times New Roman" w:hAnsi="Times New Roman" w:cs="Times New Roman"/>
          <w:sz w:val="28"/>
          <w:szCs w:val="28"/>
        </w:rPr>
        <w:t xml:space="preserve"> в порядке, установленном методическими указаниями по расчету сбытовых надбавок гарантирующих поставщиков с учетом положений пункта 65(2) настоящего документа.</w:t>
      </w:r>
    </w:p>
    <w:p w:rsidR="003624F9" w:rsidRPr="00872F09" w:rsidRDefault="003624F9" w:rsidP="00C32B4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В случае, если </w:t>
      </w:r>
      <w:r w:rsidR="00A9064B" w:rsidRPr="00872F09">
        <w:rPr>
          <w:rFonts w:ascii="Times New Roman" w:hAnsi="Times New Roman" w:cs="Times New Roman"/>
          <w:sz w:val="28"/>
          <w:szCs w:val="28"/>
        </w:rPr>
        <w:t>расход</w:t>
      </w:r>
      <w:r w:rsidR="00A9064B">
        <w:rPr>
          <w:rFonts w:ascii="Times New Roman" w:hAnsi="Times New Roman" w:cs="Times New Roman"/>
          <w:sz w:val="28"/>
          <w:szCs w:val="28"/>
        </w:rPr>
        <w:t>ы</w:t>
      </w:r>
      <w:r w:rsidR="00A9064B" w:rsidRPr="00872F09">
        <w:rPr>
          <w:rFonts w:ascii="Times New Roman" w:hAnsi="Times New Roman" w:cs="Times New Roman"/>
          <w:sz w:val="28"/>
          <w:szCs w:val="28"/>
        </w:rPr>
        <w:t xml:space="preserve"> гарантирующего поставщика, определяемы</w:t>
      </w:r>
      <w:r w:rsidR="00A9064B">
        <w:rPr>
          <w:rFonts w:ascii="Times New Roman" w:hAnsi="Times New Roman" w:cs="Times New Roman"/>
          <w:sz w:val="28"/>
          <w:szCs w:val="28"/>
        </w:rPr>
        <w:t>е</w:t>
      </w:r>
      <w:r w:rsidR="00A9064B" w:rsidRPr="00872F09">
        <w:rPr>
          <w:rFonts w:ascii="Times New Roman" w:hAnsi="Times New Roman" w:cs="Times New Roman"/>
          <w:sz w:val="28"/>
          <w:szCs w:val="28"/>
        </w:rPr>
        <w:t xml:space="preserve"> методом экономически обоснованных затрат</w:t>
      </w:r>
      <w:r w:rsidRPr="00872F09">
        <w:rPr>
          <w:rFonts w:ascii="Times New Roman" w:hAnsi="Times New Roman" w:cs="Times New Roman"/>
          <w:sz w:val="28"/>
          <w:szCs w:val="28"/>
        </w:rPr>
        <w:t xml:space="preserve">, отличаются от эталонной выручки </w:t>
      </w:r>
      <w:r w:rsidR="00E44157" w:rsidRPr="00872F09">
        <w:rPr>
          <w:rFonts w:ascii="Times New Roman" w:hAnsi="Times New Roman" w:cs="Times New Roman"/>
          <w:sz w:val="28"/>
          <w:szCs w:val="28"/>
        </w:rPr>
        <w:t xml:space="preserve">гарантирующего поставщика </w:t>
      </w:r>
      <w:r w:rsidRPr="00872F09">
        <w:rPr>
          <w:rFonts w:ascii="Times New Roman" w:hAnsi="Times New Roman" w:cs="Times New Roman"/>
          <w:sz w:val="28"/>
          <w:szCs w:val="28"/>
        </w:rPr>
        <w:t>не более чем на 5%, а также для организации, впервые обратившейся для установления сбытовых надбавок, сбытовые надбавки для данной организации устанавливаются методом сравнения аналогов.</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д)</w:t>
      </w:r>
      <w:r w:rsidRPr="00872F09">
        <w:rPr>
          <w:rFonts w:ascii="Times New Roman" w:hAnsi="Times New Roman" w:cs="Times New Roman"/>
          <w:sz w:val="28"/>
          <w:szCs w:val="28"/>
        </w:rPr>
        <w:tab/>
        <w:t>пункт 65(1) изложить в следующей редакции:</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65(1). Сбытовые надбавки дифференцируются по следующим группам потребителей:</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население и приравненные к нему категории потребителей;</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сетевые организации, покупающие электрическую энергию для компенсации потерь электрической энергии;</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прочие потребители.</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w:t>
      </w:r>
      <w:r w:rsidRPr="00872F09">
        <w:rPr>
          <w:rFonts w:ascii="Times New Roman" w:hAnsi="Times New Roman" w:cs="Times New Roman"/>
          <w:sz w:val="28"/>
          <w:szCs w:val="28"/>
        </w:rPr>
        <w:lastRenderedPageBreak/>
        <w:t>электрическую энергию (мощность) для поставки населению и приравненным к нему категориям потребителей, утвержденной регулирующим органом, на объем электрической энергии, поставляемой населению и приравненным к нему категориям потребителей, определенный на основании прогнозного баланса, из суммы (в случае если разность является положительной):</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пунктом 71 настоящего документа;</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стоимости иных услуг, оказание которых является неотъемлемой частью процесса снабжения электрической энергией потребителей;</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w:t>
      </w:r>
      <w:r w:rsidR="00A77821" w:rsidRPr="00872F09">
        <w:rPr>
          <w:rFonts w:ascii="Times New Roman" w:hAnsi="Times New Roman" w:cs="Times New Roman"/>
          <w:sz w:val="28"/>
          <w:szCs w:val="28"/>
        </w:rPr>
        <w:t>,</w:t>
      </w:r>
      <w:r w:rsidRPr="00872F09">
        <w:rPr>
          <w:rFonts w:ascii="Times New Roman" w:hAnsi="Times New Roman" w:cs="Times New Roman"/>
          <w:sz w:val="28"/>
          <w:szCs w:val="28"/>
        </w:rPr>
        <w:t xml:space="preserve"> и объема электрической энергии, поставляемой населению и приравненным к нему категориям потребителей, учтенного в прогнозном балансе.</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методическими указаниями по расчету сбытовых надбавок гарантирующих поставщиков, утверждаемыми Федеральной антимонопольной службой.</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ж) дополнить пунктом 65(2) следующего содержания:</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«65(2). Эталонная выручка </w:t>
      </w:r>
      <w:r w:rsidR="00E44157" w:rsidRPr="00872F09">
        <w:rPr>
          <w:rFonts w:ascii="Times New Roman" w:hAnsi="Times New Roman" w:cs="Times New Roman"/>
          <w:sz w:val="28"/>
          <w:szCs w:val="28"/>
        </w:rPr>
        <w:t xml:space="preserve">гарантирующего поставщика </w:t>
      </w:r>
      <w:r w:rsidRPr="00872F09">
        <w:rPr>
          <w:rFonts w:ascii="Times New Roman" w:hAnsi="Times New Roman" w:cs="Times New Roman"/>
          <w:sz w:val="28"/>
          <w:szCs w:val="28"/>
        </w:rPr>
        <w:t>рассчитывается органами исполнительной власти субъектов Российской Федерации в области государственного регулирования тарифов исходя из:</w:t>
      </w:r>
    </w:p>
    <w:p w:rsidR="000F7188" w:rsidRPr="00872F09" w:rsidRDefault="000F7188"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эталонов затрат гарантирующего поставщика, установленных в зависимости от масштаба, территориальных и иных параметров деятельности </w:t>
      </w:r>
      <w:r w:rsidRPr="00872F09">
        <w:rPr>
          <w:rFonts w:ascii="Times New Roman" w:hAnsi="Times New Roman" w:cs="Times New Roman"/>
          <w:sz w:val="28"/>
          <w:szCs w:val="28"/>
        </w:rPr>
        <w:lastRenderedPageBreak/>
        <w:t>гарантирующих поставщиков в соответствии с методическими указаниями по расчету сбытовых надбавок гарантирующих поставщиков, утверждаемых Федеральной антимонопольной службой;</w:t>
      </w:r>
    </w:p>
    <w:p w:rsidR="003624F9" w:rsidRPr="00872F09" w:rsidRDefault="000F7188"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количества точек поставки на розничном рынке по группам  потребителей и сетевых организаций с учетом данных, предоставленных гарантирующим поставщиком;</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прогноза объемов потребления электрической энергии (мощности) по 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цен (тарифов) на электрическую энергию (мощность), поставляемую потребителям (сетевым организациями), которые определяются в порядке, установленном методическими указаниями по расчету сбытовых надбавок гарантирующих поставщиков;</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планируемого для достижения уровня качества обслуживания потребителей (покупателей) гарантирующими поставщиками, определяемого органом исполнительной власти субъектов Российской Федерации в области государственного регулирования тарифов в соответствии с критериями обеспечения качества очного и заочного обслуживания потребителей (покупателей) гарантирующими поставщиками, установленных Основными положениями функционирования розничных рынков электрической энергии. Планируемый для достижения уровень качества не может быть ниже фактически достигнутого соответствующей организацией.</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Методическими указаниями по расчету сбытовых надбавок гарантирующих поставщиков, утверждаемыми Федеральной антимонопольной службой, устанавливаются значения эталонов затрат гарантирующего поставщика отдельно для следующих групп потребителей:</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население, проживающее в городских населенных пунктах;</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население, проживающее в сельских населенных пунктах;</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исполнители коммунальных услуг;</w:t>
      </w:r>
    </w:p>
    <w:p w:rsidR="003624F9" w:rsidRPr="00872F09" w:rsidRDefault="0014076C" w:rsidP="00872F0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прочие </w:t>
      </w:r>
      <w:r w:rsidR="003624F9" w:rsidRPr="00872F09">
        <w:rPr>
          <w:rFonts w:ascii="Times New Roman" w:hAnsi="Times New Roman" w:cs="Times New Roman"/>
          <w:sz w:val="28"/>
          <w:szCs w:val="28"/>
        </w:rPr>
        <w:t>потребители, приравненные к населению;</w:t>
      </w:r>
    </w:p>
    <w:p w:rsidR="005816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прочие потребители</w:t>
      </w:r>
      <w:r w:rsidR="00581609">
        <w:rPr>
          <w:rFonts w:ascii="Times New Roman" w:hAnsi="Times New Roman" w:cs="Times New Roman"/>
          <w:sz w:val="28"/>
          <w:szCs w:val="28"/>
        </w:rPr>
        <w:t>;</w:t>
      </w:r>
      <w:r w:rsidR="005265AA" w:rsidRPr="00872F09">
        <w:rPr>
          <w:rFonts w:ascii="Times New Roman" w:hAnsi="Times New Roman" w:cs="Times New Roman"/>
          <w:sz w:val="28"/>
          <w:szCs w:val="28"/>
        </w:rPr>
        <w:t xml:space="preserve"> </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сетевые организации, покупающие электрическую энергию для компенсации потерь электрической энергии.</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Значения эталонов затрат </w:t>
      </w:r>
      <w:r w:rsidR="00E44157" w:rsidRPr="00872F09">
        <w:rPr>
          <w:rFonts w:ascii="Times New Roman" w:hAnsi="Times New Roman" w:cs="Times New Roman"/>
          <w:sz w:val="28"/>
          <w:szCs w:val="28"/>
        </w:rPr>
        <w:t xml:space="preserve">гарантирующего поставщика </w:t>
      </w:r>
      <w:r w:rsidRPr="00872F09">
        <w:rPr>
          <w:rFonts w:ascii="Times New Roman" w:hAnsi="Times New Roman" w:cs="Times New Roman"/>
          <w:sz w:val="28"/>
          <w:szCs w:val="28"/>
        </w:rPr>
        <w:t xml:space="preserve">для каждой из групп  потребителей устанавливаются в </w:t>
      </w:r>
      <w:r w:rsidR="005265AA" w:rsidRPr="00872F09">
        <w:rPr>
          <w:rFonts w:ascii="Times New Roman" w:hAnsi="Times New Roman" w:cs="Times New Roman"/>
          <w:sz w:val="28"/>
          <w:szCs w:val="28"/>
        </w:rPr>
        <w:t>м</w:t>
      </w:r>
      <w:r w:rsidRPr="00872F09">
        <w:rPr>
          <w:rFonts w:ascii="Times New Roman" w:hAnsi="Times New Roman" w:cs="Times New Roman"/>
          <w:sz w:val="28"/>
          <w:szCs w:val="28"/>
        </w:rPr>
        <w:t>етодических указаниях по расчету сбытовых надбавок гарантирующих поставщиков, утверждаемых Федеральной антимонопольной службой, в виде следующих компонентов:</w:t>
      </w:r>
    </w:p>
    <w:p w:rsidR="000F7188" w:rsidRPr="00872F09" w:rsidRDefault="000F7188"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w:t>
      </w:r>
      <w:r w:rsidRPr="00872F09">
        <w:rPr>
          <w:rFonts w:ascii="Times New Roman" w:hAnsi="Times New Roman" w:cs="Times New Roman"/>
          <w:sz w:val="28"/>
          <w:szCs w:val="28"/>
        </w:rPr>
        <w:lastRenderedPageBreak/>
        <w:t>платежей со стороны покупателей электрической энергии (мощности), в том числе учитывающие просроченную задолженность предыдущих лет, расходы на формирование резерва по сомнительным долгам, величина которых зависит от стоимости поставляемой электрической энергии (мощности);</w:t>
      </w:r>
    </w:p>
    <w:p w:rsidR="000F7188" w:rsidRPr="00872F09" w:rsidRDefault="000F7188"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постоянные - в рублях на одну точку поставки на розничном рынке, отражающие следующие статьи расходов: расходы на оплату труда, затраты на содержание помещений, затраты на печать и доставку документов, затраты на колл-центры, накладные расходы.</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Значения эталонов затрат</w:t>
      </w:r>
      <w:r w:rsidR="00E44157" w:rsidRPr="00872F09">
        <w:rPr>
          <w:rFonts w:ascii="Times New Roman" w:hAnsi="Times New Roman" w:cs="Times New Roman"/>
          <w:sz w:val="28"/>
          <w:szCs w:val="28"/>
        </w:rPr>
        <w:t xml:space="preserve"> гарантирующего поставщика</w:t>
      </w:r>
      <w:r w:rsidRPr="00872F09">
        <w:rPr>
          <w:rFonts w:ascii="Times New Roman" w:hAnsi="Times New Roman" w:cs="Times New Roman"/>
          <w:sz w:val="28"/>
          <w:szCs w:val="28"/>
        </w:rPr>
        <w:t xml:space="preserve">, установленных в </w:t>
      </w:r>
      <w:r w:rsidR="00F85741" w:rsidRPr="00872F09">
        <w:rPr>
          <w:rFonts w:ascii="Times New Roman" w:hAnsi="Times New Roman" w:cs="Times New Roman"/>
          <w:sz w:val="28"/>
          <w:szCs w:val="28"/>
        </w:rPr>
        <w:t>м</w:t>
      </w:r>
      <w:r w:rsidRPr="00872F09">
        <w:rPr>
          <w:rFonts w:ascii="Times New Roman" w:hAnsi="Times New Roman" w:cs="Times New Roman"/>
          <w:sz w:val="28"/>
          <w:szCs w:val="28"/>
        </w:rPr>
        <w:t>етодических указаниях по расчету сбытовых надбавок гарантирующих поставщиков,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(три)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случаев изменения законодательства Российской Федерации об электроэнергетике.</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Эталонная выручка </w:t>
      </w:r>
      <w:r w:rsidR="00E44157" w:rsidRPr="00872F09">
        <w:rPr>
          <w:rFonts w:ascii="Times New Roman" w:hAnsi="Times New Roman" w:cs="Times New Roman"/>
          <w:sz w:val="28"/>
          <w:szCs w:val="28"/>
        </w:rPr>
        <w:t xml:space="preserve">гарантирующего поставщика </w:t>
      </w:r>
      <w:r w:rsidRPr="00872F09">
        <w:rPr>
          <w:rFonts w:ascii="Times New Roman" w:hAnsi="Times New Roman" w:cs="Times New Roman"/>
          <w:sz w:val="28"/>
          <w:szCs w:val="28"/>
        </w:rPr>
        <w:t>определяется как сумма следующих составляющих:</w:t>
      </w:r>
    </w:p>
    <w:p w:rsidR="000F7188" w:rsidRPr="00872F09" w:rsidRDefault="000F7188"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потребителей (сетевых организаций) на соответствующий период регулирования;</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произведение количества точек поставки по каждой группе  потребителей (сетевых организаций)</w:t>
      </w:r>
      <w:r w:rsidR="00802A92" w:rsidRPr="00872F09">
        <w:rPr>
          <w:rFonts w:ascii="Times New Roman" w:hAnsi="Times New Roman" w:cs="Times New Roman"/>
          <w:sz w:val="28"/>
          <w:szCs w:val="28"/>
        </w:rPr>
        <w:t>,</w:t>
      </w:r>
      <w:r w:rsidRPr="00872F09">
        <w:rPr>
          <w:rFonts w:ascii="Times New Roman" w:hAnsi="Times New Roman" w:cs="Times New Roman"/>
          <w:sz w:val="28"/>
          <w:szCs w:val="28"/>
        </w:rPr>
        <w:t xml:space="preserve"> сумм</w:t>
      </w:r>
      <w:r w:rsidR="00F85741" w:rsidRPr="00872F09">
        <w:rPr>
          <w:rFonts w:ascii="Times New Roman" w:hAnsi="Times New Roman" w:cs="Times New Roman"/>
          <w:sz w:val="28"/>
          <w:szCs w:val="28"/>
        </w:rPr>
        <w:t>ы</w:t>
      </w:r>
      <w:r w:rsidRPr="00872F09">
        <w:rPr>
          <w:rFonts w:ascii="Times New Roman" w:hAnsi="Times New Roman" w:cs="Times New Roman"/>
          <w:sz w:val="28"/>
          <w:szCs w:val="28"/>
        </w:rPr>
        <w:t xml:space="preserve"> постоянных компонентов эталонов затрат для </w:t>
      </w:r>
      <w:r w:rsidR="00802A92" w:rsidRPr="00872F09">
        <w:rPr>
          <w:rFonts w:ascii="Times New Roman" w:hAnsi="Times New Roman" w:cs="Times New Roman"/>
          <w:sz w:val="28"/>
          <w:szCs w:val="28"/>
        </w:rPr>
        <w:t xml:space="preserve">соответствующей </w:t>
      </w:r>
      <w:r w:rsidRPr="00872F09">
        <w:rPr>
          <w:rFonts w:ascii="Times New Roman" w:hAnsi="Times New Roman" w:cs="Times New Roman"/>
          <w:sz w:val="28"/>
          <w:szCs w:val="28"/>
        </w:rPr>
        <w:t>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 умноженного на коэффициент 0,9;</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расчетная предпринимательская прибыль гарантирующего поставщика</w:t>
      </w:r>
      <w:r w:rsidR="00802A92" w:rsidRPr="00872F09">
        <w:rPr>
          <w:rFonts w:ascii="Times New Roman" w:hAnsi="Times New Roman" w:cs="Times New Roman"/>
          <w:sz w:val="28"/>
          <w:szCs w:val="28"/>
        </w:rPr>
        <w:t xml:space="preserve">, </w:t>
      </w:r>
      <w:r w:rsidRPr="00872F09">
        <w:rPr>
          <w:rFonts w:ascii="Times New Roman" w:hAnsi="Times New Roman" w:cs="Times New Roman"/>
          <w:sz w:val="28"/>
          <w:szCs w:val="28"/>
        </w:rPr>
        <w:t xml:space="preserve">которая устанавливается в </w:t>
      </w:r>
      <w:r w:rsidR="00802A92" w:rsidRPr="00872F09">
        <w:rPr>
          <w:rFonts w:ascii="Times New Roman" w:hAnsi="Times New Roman" w:cs="Times New Roman"/>
          <w:sz w:val="28"/>
          <w:szCs w:val="28"/>
        </w:rPr>
        <w:t xml:space="preserve">соответствии с </w:t>
      </w:r>
      <w:r w:rsidRPr="00872F09">
        <w:rPr>
          <w:rFonts w:ascii="Times New Roman" w:hAnsi="Times New Roman" w:cs="Times New Roman"/>
          <w:sz w:val="28"/>
          <w:szCs w:val="28"/>
        </w:rPr>
        <w:t>методическими указаниями по расчету сбытовых надбавок в виде процента от гарантирующего поставщика.</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Средневзвешенные цены на электрическую энергию (мощность) по группам  потребителей (сетевых организаций) определяются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соответствующий год.</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Уровень качества обслуживания потребителей (покупателей) гарантирующим поставщиком, определяемый на основании критериев </w:t>
      </w:r>
      <w:r w:rsidRPr="00872F09">
        <w:rPr>
          <w:rFonts w:ascii="Times New Roman" w:hAnsi="Times New Roman" w:cs="Times New Roman"/>
          <w:sz w:val="28"/>
          <w:szCs w:val="28"/>
        </w:rPr>
        <w:lastRenderedPageBreak/>
        <w:t>обеспечения качества очного и заочного обслуживания потребителей (покупателей) гарантирующими поставщиками, установленных Основными положениями функционирования розничных рынков электрической энергии, учитывается при определении органами исполнительной власти субъектов Российской Федерации в области государственного регулирования тарифов эталонных затрат гарантирующих поставщиков в порядке, установленном методическими указаниями по расчету сбытовых надбавок гарантирующих поставщиков.</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Устанавливаются три уровня качества: базовый, повышенный и высокий. Базовый уровень задается эталонами затрат</w:t>
      </w:r>
      <w:r w:rsidR="00E44157" w:rsidRPr="00872F09">
        <w:rPr>
          <w:rFonts w:ascii="Times New Roman" w:hAnsi="Times New Roman" w:cs="Times New Roman"/>
          <w:sz w:val="28"/>
          <w:szCs w:val="28"/>
        </w:rPr>
        <w:t xml:space="preserve"> гарантирующего поставщика</w:t>
      </w:r>
      <w:r w:rsidRPr="00872F09">
        <w:rPr>
          <w:rFonts w:ascii="Times New Roman" w:hAnsi="Times New Roman" w:cs="Times New Roman"/>
          <w:sz w:val="28"/>
          <w:szCs w:val="28"/>
        </w:rPr>
        <w:t>, остальные</w:t>
      </w:r>
      <w:r w:rsidR="00E44157" w:rsidRPr="00872F09">
        <w:rPr>
          <w:rFonts w:ascii="Times New Roman" w:hAnsi="Times New Roman" w:cs="Times New Roman"/>
          <w:sz w:val="28"/>
          <w:szCs w:val="28"/>
        </w:rPr>
        <w:t xml:space="preserve"> -</w:t>
      </w:r>
      <w:r w:rsidRPr="00872F09">
        <w:rPr>
          <w:rFonts w:ascii="Times New Roman" w:hAnsi="Times New Roman" w:cs="Times New Roman"/>
          <w:sz w:val="28"/>
          <w:szCs w:val="28"/>
        </w:rPr>
        <w:t xml:space="preserve"> путем установления повышающих коэффициентов к постоянным компонентам эталонов затрат</w:t>
      </w:r>
      <w:r w:rsidR="00E44157" w:rsidRPr="00872F09">
        <w:rPr>
          <w:rFonts w:ascii="Times New Roman" w:hAnsi="Times New Roman" w:cs="Times New Roman"/>
          <w:sz w:val="28"/>
          <w:szCs w:val="28"/>
        </w:rPr>
        <w:t xml:space="preserve"> гарантирующего поставщика</w:t>
      </w:r>
      <w:r w:rsidRPr="00872F09">
        <w:rPr>
          <w:rFonts w:ascii="Times New Roman" w:hAnsi="Times New Roman" w:cs="Times New Roman"/>
          <w:sz w:val="28"/>
          <w:szCs w:val="28"/>
        </w:rPr>
        <w:t>.</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При недостижении гарантирующим поставщиком планируемого уровня качества обслуживания его эталонная выручка подлежит корректировке в порядке, предусмотренном методическими указаниями по расчету сбытовых надбавок гарантирующих поставщиков, утверждаемыми Федеральной антимонопольной службой.</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з) дополнить пунктом 65(3) следующего содержания:</w:t>
      </w:r>
    </w:p>
    <w:p w:rsidR="003624F9" w:rsidRDefault="00EF1D67"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w:t>
      </w:r>
      <w:r w:rsidR="00D415D2">
        <w:rPr>
          <w:rFonts w:ascii="Times New Roman" w:hAnsi="Times New Roman" w:cs="Times New Roman"/>
          <w:sz w:val="28"/>
          <w:szCs w:val="28"/>
        </w:rPr>
        <w:t>П</w:t>
      </w:r>
      <w:r w:rsidR="00D415D2" w:rsidRPr="00872F09">
        <w:rPr>
          <w:rFonts w:ascii="Times New Roman" w:hAnsi="Times New Roman" w:cs="Times New Roman"/>
          <w:sz w:val="28"/>
          <w:szCs w:val="28"/>
        </w:rPr>
        <w:t xml:space="preserve">ри установлении сбытовых надбавок </w:t>
      </w:r>
      <w:r w:rsidR="00D415D2">
        <w:rPr>
          <w:rFonts w:ascii="Times New Roman" w:hAnsi="Times New Roman" w:cs="Times New Roman"/>
          <w:sz w:val="28"/>
          <w:szCs w:val="28"/>
        </w:rPr>
        <w:t>в</w:t>
      </w:r>
      <w:r w:rsidR="003624F9" w:rsidRPr="00872F09">
        <w:rPr>
          <w:rFonts w:ascii="Times New Roman" w:hAnsi="Times New Roman" w:cs="Times New Roman"/>
          <w:sz w:val="28"/>
          <w:szCs w:val="28"/>
        </w:rPr>
        <w:t xml:space="preserve">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w:t>
      </w:r>
      <w:r w:rsidRPr="00A44ECB">
        <w:rPr>
          <w:rFonts w:ascii="Times New Roman" w:hAnsi="Times New Roman" w:cs="Times New Roman"/>
          <w:sz w:val="28"/>
          <w:szCs w:val="28"/>
        </w:rPr>
        <w:t>,</w:t>
      </w:r>
      <w:r w:rsidR="003624F9" w:rsidRPr="00872F09">
        <w:rPr>
          <w:rFonts w:ascii="Times New Roman" w:hAnsi="Times New Roman" w:cs="Times New Roman"/>
          <w:sz w:val="28"/>
          <w:szCs w:val="28"/>
        </w:rPr>
        <w:t xml:space="preserve"> метод сравнения аналогов не применяется. Сбытовые надбавки </w:t>
      </w:r>
      <w:r w:rsidR="00D415D2" w:rsidRPr="00872F09">
        <w:rPr>
          <w:rFonts w:ascii="Times New Roman" w:hAnsi="Times New Roman" w:cs="Times New Roman"/>
          <w:sz w:val="28"/>
          <w:szCs w:val="28"/>
        </w:rPr>
        <w:t>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w:t>
      </w:r>
      <w:r w:rsidR="00D415D2">
        <w:rPr>
          <w:rFonts w:ascii="Times New Roman" w:hAnsi="Times New Roman" w:cs="Times New Roman"/>
          <w:sz w:val="28"/>
          <w:szCs w:val="28"/>
        </w:rPr>
        <w:t xml:space="preserve"> </w:t>
      </w:r>
      <w:r w:rsidR="003624F9" w:rsidRPr="00872F09">
        <w:rPr>
          <w:rFonts w:ascii="Times New Roman" w:hAnsi="Times New Roman" w:cs="Times New Roman"/>
          <w:sz w:val="28"/>
          <w:szCs w:val="28"/>
        </w:rPr>
        <w:t>устанавливаются в соответствии с методическими указаниями по расчету сбытовых надбавок гарантирующих поставщиков</w:t>
      </w:r>
      <w:r w:rsidR="00D415D2">
        <w:rPr>
          <w:rFonts w:ascii="Times New Roman" w:hAnsi="Times New Roman" w:cs="Times New Roman"/>
          <w:sz w:val="28"/>
          <w:szCs w:val="28"/>
        </w:rPr>
        <w:t>,</w:t>
      </w:r>
      <w:r w:rsidR="003624F9" w:rsidRPr="00872F09">
        <w:rPr>
          <w:rFonts w:ascii="Times New Roman" w:hAnsi="Times New Roman" w:cs="Times New Roman"/>
          <w:sz w:val="28"/>
          <w:szCs w:val="28"/>
        </w:rPr>
        <w:t xml:space="preserve"> утверждаемыми Федеральной антимонопольной службой, без дифференциации по группам потребителей.</w:t>
      </w:r>
      <w:r w:rsidRPr="00872F09">
        <w:rPr>
          <w:rFonts w:ascii="Times New Roman" w:hAnsi="Times New Roman" w:cs="Times New Roman"/>
          <w:sz w:val="28"/>
          <w:szCs w:val="28"/>
        </w:rPr>
        <w:t>»</w:t>
      </w:r>
      <w:r w:rsidR="00A44ECB">
        <w:rPr>
          <w:rFonts w:ascii="Times New Roman" w:hAnsi="Times New Roman" w:cs="Times New Roman"/>
          <w:sz w:val="28"/>
          <w:szCs w:val="28"/>
        </w:rPr>
        <w:t>;</w:t>
      </w:r>
    </w:p>
    <w:p w:rsidR="00A44ECB" w:rsidRPr="00872F09" w:rsidRDefault="00A44ECB" w:rsidP="00872F0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 абзац четырнадцатый пункта 78 признать утратившим силу.</w:t>
      </w:r>
    </w:p>
    <w:p w:rsidR="003624F9" w:rsidRPr="00872F09" w:rsidRDefault="003624F9" w:rsidP="00872F09">
      <w:pPr>
        <w:spacing w:after="0" w:line="240" w:lineRule="auto"/>
        <w:ind w:firstLine="360"/>
        <w:jc w:val="both"/>
        <w:rPr>
          <w:rFonts w:ascii="Times New Roman" w:hAnsi="Times New Roman" w:cs="Times New Roman"/>
          <w:sz w:val="28"/>
          <w:szCs w:val="28"/>
        </w:rPr>
      </w:pPr>
    </w:p>
    <w:p w:rsidR="003624F9" w:rsidRPr="00872F09" w:rsidRDefault="00EF1D67" w:rsidP="00872F09">
      <w:pPr>
        <w:pStyle w:val="ConsPlusNormal"/>
        <w:ind w:firstLine="540"/>
        <w:jc w:val="both"/>
        <w:rPr>
          <w:b/>
          <w:bCs/>
          <w:sz w:val="28"/>
          <w:szCs w:val="28"/>
        </w:rPr>
      </w:pPr>
      <w:r w:rsidRPr="00872F09">
        <w:rPr>
          <w:sz w:val="28"/>
          <w:szCs w:val="28"/>
        </w:rPr>
        <w:t>2. В Основных положениях функционирования розничных рынков электрической энергии, утвержденных постановлением Правительства Российской Федерации от 4 мая 2012 г. № 442 (Собрание законодательства Российской Федерации</w:t>
      </w:r>
      <w:r w:rsidR="00A14D96" w:rsidRPr="00872F09">
        <w:rPr>
          <w:bCs/>
          <w:sz w:val="28"/>
          <w:szCs w:val="28"/>
        </w:rPr>
        <w:t>, 2012, № 23, ст. 3008</w:t>
      </w:r>
      <w:r w:rsidRPr="00872F09">
        <w:rPr>
          <w:sz w:val="28"/>
          <w:szCs w:val="28"/>
        </w:rPr>
        <w:t>):</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а) </w:t>
      </w:r>
      <w:r w:rsidR="00C20591" w:rsidRPr="00872F09">
        <w:rPr>
          <w:rFonts w:ascii="Times New Roman" w:hAnsi="Times New Roman" w:cs="Times New Roman"/>
          <w:sz w:val="28"/>
          <w:szCs w:val="28"/>
        </w:rPr>
        <w:t xml:space="preserve">абзацы шестой и седьмой </w:t>
      </w:r>
      <w:r w:rsidRPr="00872F09">
        <w:rPr>
          <w:rFonts w:ascii="Times New Roman" w:hAnsi="Times New Roman" w:cs="Times New Roman"/>
          <w:sz w:val="28"/>
          <w:szCs w:val="28"/>
        </w:rPr>
        <w:t>пункт</w:t>
      </w:r>
      <w:r w:rsidR="00C20591">
        <w:rPr>
          <w:rFonts w:ascii="Times New Roman" w:hAnsi="Times New Roman" w:cs="Times New Roman"/>
          <w:sz w:val="28"/>
          <w:szCs w:val="28"/>
        </w:rPr>
        <w:t>а</w:t>
      </w:r>
      <w:r w:rsidRPr="00872F09">
        <w:rPr>
          <w:rFonts w:ascii="Times New Roman" w:hAnsi="Times New Roman" w:cs="Times New Roman"/>
          <w:sz w:val="28"/>
          <w:szCs w:val="28"/>
        </w:rPr>
        <w:t xml:space="preserve"> 11</w:t>
      </w:r>
      <w:r w:rsidR="00D415D2">
        <w:rPr>
          <w:rFonts w:ascii="Times New Roman" w:hAnsi="Times New Roman" w:cs="Times New Roman"/>
          <w:sz w:val="28"/>
          <w:szCs w:val="28"/>
        </w:rPr>
        <w:t xml:space="preserve"> </w:t>
      </w:r>
      <w:r w:rsidRPr="00872F09">
        <w:rPr>
          <w:rFonts w:ascii="Times New Roman" w:hAnsi="Times New Roman" w:cs="Times New Roman"/>
          <w:sz w:val="28"/>
          <w:szCs w:val="28"/>
        </w:rPr>
        <w:t>изложить в следующей редакции:</w:t>
      </w:r>
    </w:p>
    <w:p w:rsidR="003624F9" w:rsidRPr="00872F09" w:rsidRDefault="003624F9"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 xml:space="preserve">«обеспечение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 В счетах на оплату электрической энергии (мощности) на территориях, объединенных в неценовые зоны оптового рынка, помимо суммарного платежа должны </w:t>
      </w:r>
      <w:r w:rsidRPr="00872F09">
        <w:rPr>
          <w:rFonts w:ascii="Times New Roman" w:hAnsi="Times New Roman" w:cs="Times New Roman"/>
          <w:sz w:val="28"/>
          <w:szCs w:val="28"/>
        </w:rPr>
        <w:lastRenderedPageBreak/>
        <w:t>раздельно указываться стоимость отпущенной потребителю электрической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 При этом при расчете по двухставочному тарифу стоимость электрической энергии указывается отдельно от мощности;</w:t>
      </w:r>
    </w:p>
    <w:p w:rsidR="00356745" w:rsidRDefault="00DC0776" w:rsidP="00872F09">
      <w:pPr>
        <w:spacing w:after="0" w:line="240" w:lineRule="auto"/>
        <w:ind w:firstLine="360"/>
        <w:jc w:val="both"/>
        <w:rPr>
          <w:rFonts w:ascii="Times New Roman" w:hAnsi="Times New Roman" w:cs="Times New Roman"/>
          <w:sz w:val="28"/>
          <w:szCs w:val="28"/>
        </w:rPr>
      </w:pPr>
      <w:r w:rsidRPr="00872F09">
        <w:rPr>
          <w:rFonts w:ascii="Times New Roman" w:hAnsi="Times New Roman" w:cs="Times New Roman"/>
          <w:sz w:val="28"/>
          <w:szCs w:val="28"/>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w:t>
      </w:r>
      <w:r w:rsidR="00C20591">
        <w:rPr>
          <w:rFonts w:ascii="Times New Roman" w:hAnsi="Times New Roman" w:cs="Times New Roman"/>
          <w:sz w:val="28"/>
          <w:szCs w:val="28"/>
        </w:rPr>
        <w:t>оставщику без оплаты комиссии;»;</w:t>
      </w:r>
    </w:p>
    <w:p w:rsidR="00C20591" w:rsidRDefault="00C20591" w:rsidP="00872F0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б) абзац восьмой пункта 86 изложить в редакции:</w:t>
      </w:r>
    </w:p>
    <w:p w:rsidR="00C20591" w:rsidRDefault="00C20591" w:rsidP="00C20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C20591">
        <w:rPr>
          <w:rFonts w:ascii="Times New Roman" w:hAnsi="Times New Roman" w:cs="Times New Roman"/>
          <w:sz w:val="28"/>
          <w:szCs w:val="28"/>
        </w:rPr>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r>
        <w:rPr>
          <w:rFonts w:ascii="Times New Roman" w:hAnsi="Times New Roman" w:cs="Times New Roman"/>
          <w:sz w:val="28"/>
          <w:szCs w:val="28"/>
        </w:rPr>
        <w:t>»;</w:t>
      </w:r>
    </w:p>
    <w:p w:rsidR="00F80C56" w:rsidRPr="00F80C56" w:rsidRDefault="00F80C56" w:rsidP="00F80C5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абзац девятый пункта 86 признать утратившим силу;</w:t>
      </w:r>
    </w:p>
    <w:p w:rsidR="00C20591" w:rsidRPr="00C20591" w:rsidRDefault="00F80C56" w:rsidP="00C20591">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г</w:t>
      </w:r>
      <w:bookmarkStart w:id="2" w:name="_GoBack"/>
      <w:bookmarkEnd w:id="2"/>
      <w:r w:rsidR="00C20591">
        <w:rPr>
          <w:rFonts w:ascii="Times New Roman" w:hAnsi="Times New Roman" w:cs="Times New Roman"/>
          <w:sz w:val="28"/>
          <w:szCs w:val="28"/>
        </w:rPr>
        <w:t>) в абзаце восьмом пункта 96 слова «относящихся к подгруппе группы «прочие потребители» с максимальной мощностью энергопринимающих устройств от 670 кВт до 10 МВт» заменить словами «относящихся к группе «прочие потребители».</w:t>
      </w:r>
    </w:p>
    <w:p w:rsidR="00C20591" w:rsidRDefault="00C20591" w:rsidP="00872F09">
      <w:pPr>
        <w:spacing w:after="0" w:line="240" w:lineRule="auto"/>
        <w:ind w:firstLine="360"/>
        <w:jc w:val="both"/>
        <w:rPr>
          <w:rFonts w:ascii="Times New Roman" w:hAnsi="Times New Roman" w:cs="Times New Roman"/>
          <w:sz w:val="28"/>
          <w:szCs w:val="28"/>
        </w:rPr>
      </w:pPr>
    </w:p>
    <w:p w:rsidR="006D79FB" w:rsidRDefault="00C20591" w:rsidP="006D79FB">
      <w:pPr>
        <w:pStyle w:val="ConsPlusNormal"/>
        <w:ind w:firstLine="540"/>
        <w:jc w:val="both"/>
        <w:rPr>
          <w:sz w:val="28"/>
          <w:szCs w:val="28"/>
        </w:rPr>
      </w:pPr>
      <w:r>
        <w:rPr>
          <w:sz w:val="28"/>
          <w:szCs w:val="28"/>
        </w:rPr>
        <w:t>3. В Правилах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№1179</w:t>
      </w:r>
      <w:r w:rsidR="006D79FB">
        <w:rPr>
          <w:sz w:val="28"/>
          <w:szCs w:val="28"/>
        </w:rPr>
        <w:t xml:space="preserve"> </w:t>
      </w:r>
      <w:r w:rsidR="006D79FB" w:rsidRPr="006D79FB">
        <w:rPr>
          <w:sz w:val="28"/>
          <w:szCs w:val="28"/>
        </w:rPr>
        <w:t xml:space="preserve">"Об определении и применении гарантирующими поставщиками нерегулируемых цен на электрическую энергию (мощность)" (Собрание законодательства Российской Федерации, 2012, </w:t>
      </w:r>
      <w:r w:rsidR="006D79FB">
        <w:rPr>
          <w:sz w:val="28"/>
          <w:szCs w:val="28"/>
        </w:rPr>
        <w:t>№</w:t>
      </w:r>
      <w:r w:rsidR="006D79FB" w:rsidRPr="006D79FB">
        <w:rPr>
          <w:sz w:val="28"/>
          <w:szCs w:val="28"/>
        </w:rPr>
        <w:t xml:space="preserve"> 4, ст. 505; </w:t>
      </w:r>
      <w:r w:rsidR="006D79FB">
        <w:rPr>
          <w:sz w:val="28"/>
          <w:szCs w:val="28"/>
        </w:rPr>
        <w:t>№</w:t>
      </w:r>
      <w:r w:rsidR="006D79FB" w:rsidRPr="006D79FB">
        <w:rPr>
          <w:sz w:val="28"/>
          <w:szCs w:val="28"/>
        </w:rPr>
        <w:t xml:space="preserve">23, ст. 3008; 2014, </w:t>
      </w:r>
      <w:r w:rsidR="006D79FB">
        <w:rPr>
          <w:sz w:val="28"/>
          <w:szCs w:val="28"/>
        </w:rPr>
        <w:t>№</w:t>
      </w:r>
      <w:r w:rsidR="006D79FB" w:rsidRPr="006D79FB">
        <w:rPr>
          <w:sz w:val="28"/>
          <w:szCs w:val="28"/>
        </w:rPr>
        <w:t xml:space="preserve"> 32, ст. 4521</w:t>
      </w:r>
      <w:r w:rsidR="006D79FB">
        <w:rPr>
          <w:sz w:val="28"/>
          <w:szCs w:val="28"/>
        </w:rPr>
        <w:t>, 2015, №</w:t>
      </w:r>
      <w:r w:rsidR="006D79FB" w:rsidRPr="006D79FB">
        <w:rPr>
          <w:sz w:val="28"/>
          <w:szCs w:val="28"/>
        </w:rPr>
        <w:t xml:space="preserve"> 37, ст. 5153)</w:t>
      </w:r>
      <w:r w:rsidR="006D79FB">
        <w:rPr>
          <w:sz w:val="28"/>
          <w:szCs w:val="28"/>
        </w:rPr>
        <w:t>:</w:t>
      </w:r>
    </w:p>
    <w:p w:rsidR="00213CAB" w:rsidRDefault="00213CAB" w:rsidP="006D79FB">
      <w:pPr>
        <w:pStyle w:val="ConsPlusNormal"/>
        <w:ind w:firstLine="540"/>
        <w:jc w:val="both"/>
        <w:rPr>
          <w:sz w:val="28"/>
          <w:szCs w:val="28"/>
        </w:rPr>
      </w:pPr>
      <w:r>
        <w:rPr>
          <w:sz w:val="28"/>
          <w:szCs w:val="28"/>
        </w:rPr>
        <w:t>а) абзац четвертый пункта 3 признать утратившим силу;</w:t>
      </w:r>
    </w:p>
    <w:p w:rsidR="00C20591" w:rsidRDefault="00213CAB" w:rsidP="006D79FB">
      <w:pPr>
        <w:pStyle w:val="ConsPlusNormal"/>
        <w:ind w:firstLine="540"/>
        <w:jc w:val="both"/>
        <w:rPr>
          <w:sz w:val="28"/>
          <w:szCs w:val="28"/>
        </w:rPr>
      </w:pPr>
      <w:r>
        <w:rPr>
          <w:sz w:val="28"/>
          <w:szCs w:val="28"/>
        </w:rPr>
        <w:t xml:space="preserve">б) </w:t>
      </w:r>
      <w:r w:rsidR="00610427">
        <w:rPr>
          <w:sz w:val="28"/>
          <w:szCs w:val="28"/>
        </w:rPr>
        <w:t>по тексту слово «(подгруппа)» в соответствующих падежах</w:t>
      </w:r>
      <w:r w:rsidR="00610427" w:rsidRPr="00610427">
        <w:rPr>
          <w:sz w:val="28"/>
          <w:szCs w:val="28"/>
        </w:rPr>
        <w:t xml:space="preserve"> </w:t>
      </w:r>
      <w:r w:rsidR="00610427">
        <w:rPr>
          <w:sz w:val="28"/>
          <w:szCs w:val="28"/>
        </w:rPr>
        <w:t>исключить.</w:t>
      </w:r>
    </w:p>
    <w:sectPr w:rsidR="00C205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2D" w:rsidRDefault="00F02E2D">
      <w:pPr>
        <w:spacing w:after="0" w:line="240" w:lineRule="auto"/>
      </w:pPr>
      <w:r>
        <w:separator/>
      </w:r>
    </w:p>
  </w:endnote>
  <w:endnote w:type="continuationSeparator" w:id="0">
    <w:p w:rsidR="00F02E2D" w:rsidRDefault="00F0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6A9" w:rsidRDefault="00F02E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168537"/>
      <w:docPartObj>
        <w:docPartGallery w:val="Page Numbers (Bottom of Page)"/>
        <w:docPartUnique/>
      </w:docPartObj>
    </w:sdtPr>
    <w:sdtEndPr/>
    <w:sdtContent>
      <w:p w:rsidR="00D916A9" w:rsidRDefault="002058C6">
        <w:pPr>
          <w:pStyle w:val="a5"/>
          <w:jc w:val="center"/>
        </w:pPr>
        <w:r>
          <w:fldChar w:fldCharType="begin"/>
        </w:r>
        <w:r>
          <w:instrText>PAGE   \* MERGEFORMAT</w:instrText>
        </w:r>
        <w:r>
          <w:fldChar w:fldCharType="separate"/>
        </w:r>
        <w:r w:rsidR="00F80C56">
          <w:rPr>
            <w:noProof/>
          </w:rPr>
          <w:t>1</w:t>
        </w:r>
        <w:r>
          <w:fldChar w:fldCharType="end"/>
        </w:r>
      </w:p>
    </w:sdtContent>
  </w:sdt>
  <w:p w:rsidR="00D916A9" w:rsidRDefault="00F02E2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6A9" w:rsidRDefault="00F02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2D" w:rsidRDefault="00F02E2D">
      <w:pPr>
        <w:spacing w:after="0" w:line="240" w:lineRule="auto"/>
      </w:pPr>
      <w:r>
        <w:separator/>
      </w:r>
    </w:p>
  </w:footnote>
  <w:footnote w:type="continuationSeparator" w:id="0">
    <w:p w:rsidR="00F02E2D" w:rsidRDefault="00F02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6A9" w:rsidRDefault="00F02E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6A9" w:rsidRDefault="00F02E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6A9" w:rsidRDefault="00F02E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B3599"/>
    <w:multiLevelType w:val="hybridMultilevel"/>
    <w:tmpl w:val="489E3C3E"/>
    <w:lvl w:ilvl="0" w:tplc="4094C90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742CF7"/>
    <w:multiLevelType w:val="multilevel"/>
    <w:tmpl w:val="996E8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F9"/>
    <w:rsid w:val="00015B93"/>
    <w:rsid w:val="00017861"/>
    <w:rsid w:val="00021DDD"/>
    <w:rsid w:val="00080927"/>
    <w:rsid w:val="00086C3A"/>
    <w:rsid w:val="000C20BD"/>
    <w:rsid w:val="000C3DDF"/>
    <w:rsid w:val="000C7430"/>
    <w:rsid w:val="000E40FC"/>
    <w:rsid w:val="000F1347"/>
    <w:rsid w:val="000F7188"/>
    <w:rsid w:val="001131AD"/>
    <w:rsid w:val="00115A0E"/>
    <w:rsid w:val="001370DC"/>
    <w:rsid w:val="0013717D"/>
    <w:rsid w:val="0014076C"/>
    <w:rsid w:val="00143F71"/>
    <w:rsid w:val="00144CC5"/>
    <w:rsid w:val="00152B83"/>
    <w:rsid w:val="00183001"/>
    <w:rsid w:val="00193229"/>
    <w:rsid w:val="001A654C"/>
    <w:rsid w:val="001B32C6"/>
    <w:rsid w:val="001C49B9"/>
    <w:rsid w:val="001C61A6"/>
    <w:rsid w:val="001D46A2"/>
    <w:rsid w:val="001D4CD4"/>
    <w:rsid w:val="001F035E"/>
    <w:rsid w:val="001F61F3"/>
    <w:rsid w:val="00202C7B"/>
    <w:rsid w:val="002058C6"/>
    <w:rsid w:val="00206930"/>
    <w:rsid w:val="00213CAB"/>
    <w:rsid w:val="00225F8D"/>
    <w:rsid w:val="00236927"/>
    <w:rsid w:val="00240F81"/>
    <w:rsid w:val="00252A7F"/>
    <w:rsid w:val="002C19A2"/>
    <w:rsid w:val="002C65DC"/>
    <w:rsid w:val="002D00D0"/>
    <w:rsid w:val="002D5225"/>
    <w:rsid w:val="002F28AE"/>
    <w:rsid w:val="003052DB"/>
    <w:rsid w:val="00327FAD"/>
    <w:rsid w:val="0033740E"/>
    <w:rsid w:val="003514CF"/>
    <w:rsid w:val="00356745"/>
    <w:rsid w:val="003624F9"/>
    <w:rsid w:val="003665ED"/>
    <w:rsid w:val="00385F89"/>
    <w:rsid w:val="00386397"/>
    <w:rsid w:val="003A1F9F"/>
    <w:rsid w:val="003D204B"/>
    <w:rsid w:val="003E4A82"/>
    <w:rsid w:val="003F496C"/>
    <w:rsid w:val="004240B3"/>
    <w:rsid w:val="00426A2D"/>
    <w:rsid w:val="00446778"/>
    <w:rsid w:val="00462A3A"/>
    <w:rsid w:val="00464A95"/>
    <w:rsid w:val="00474D4B"/>
    <w:rsid w:val="00497051"/>
    <w:rsid w:val="004A049C"/>
    <w:rsid w:val="004A3B2B"/>
    <w:rsid w:val="004B01F5"/>
    <w:rsid w:val="004B537B"/>
    <w:rsid w:val="004D0D98"/>
    <w:rsid w:val="004D5F3E"/>
    <w:rsid w:val="004E4F78"/>
    <w:rsid w:val="004F5D5C"/>
    <w:rsid w:val="00502736"/>
    <w:rsid w:val="00506AC2"/>
    <w:rsid w:val="00515B6D"/>
    <w:rsid w:val="005265AA"/>
    <w:rsid w:val="00536F33"/>
    <w:rsid w:val="00542F6E"/>
    <w:rsid w:val="00551934"/>
    <w:rsid w:val="00581609"/>
    <w:rsid w:val="005A0CE6"/>
    <w:rsid w:val="005C1394"/>
    <w:rsid w:val="005C7184"/>
    <w:rsid w:val="005E420C"/>
    <w:rsid w:val="005E766B"/>
    <w:rsid w:val="005F11A3"/>
    <w:rsid w:val="005F349F"/>
    <w:rsid w:val="006003A6"/>
    <w:rsid w:val="00610427"/>
    <w:rsid w:val="0061706E"/>
    <w:rsid w:val="0064565C"/>
    <w:rsid w:val="00652666"/>
    <w:rsid w:val="006660D1"/>
    <w:rsid w:val="006C02F4"/>
    <w:rsid w:val="006D3A3D"/>
    <w:rsid w:val="006D79FB"/>
    <w:rsid w:val="006E042D"/>
    <w:rsid w:val="00714F87"/>
    <w:rsid w:val="0071639F"/>
    <w:rsid w:val="007505DF"/>
    <w:rsid w:val="007536D6"/>
    <w:rsid w:val="007549B3"/>
    <w:rsid w:val="0076434B"/>
    <w:rsid w:val="00767DA6"/>
    <w:rsid w:val="00773651"/>
    <w:rsid w:val="007A4C70"/>
    <w:rsid w:val="007A633F"/>
    <w:rsid w:val="007B3BFE"/>
    <w:rsid w:val="007C36C5"/>
    <w:rsid w:val="007D000D"/>
    <w:rsid w:val="007D259D"/>
    <w:rsid w:val="007D2A54"/>
    <w:rsid w:val="007F0924"/>
    <w:rsid w:val="00802A92"/>
    <w:rsid w:val="00832FC1"/>
    <w:rsid w:val="0085337C"/>
    <w:rsid w:val="00860FC5"/>
    <w:rsid w:val="00862EE5"/>
    <w:rsid w:val="00872F09"/>
    <w:rsid w:val="0087576C"/>
    <w:rsid w:val="00881B47"/>
    <w:rsid w:val="00890E69"/>
    <w:rsid w:val="0089630A"/>
    <w:rsid w:val="008A3335"/>
    <w:rsid w:val="008B0B93"/>
    <w:rsid w:val="008B6C23"/>
    <w:rsid w:val="008E3DEB"/>
    <w:rsid w:val="009064F4"/>
    <w:rsid w:val="00910E13"/>
    <w:rsid w:val="00917DE8"/>
    <w:rsid w:val="00931867"/>
    <w:rsid w:val="0096167F"/>
    <w:rsid w:val="0096177E"/>
    <w:rsid w:val="0096668D"/>
    <w:rsid w:val="00971745"/>
    <w:rsid w:val="00981B09"/>
    <w:rsid w:val="009A3B33"/>
    <w:rsid w:val="009D3A2E"/>
    <w:rsid w:val="009E658D"/>
    <w:rsid w:val="00A029BB"/>
    <w:rsid w:val="00A14D96"/>
    <w:rsid w:val="00A42C00"/>
    <w:rsid w:val="00A42C1C"/>
    <w:rsid w:val="00A44ECB"/>
    <w:rsid w:val="00A60504"/>
    <w:rsid w:val="00A77821"/>
    <w:rsid w:val="00A9064B"/>
    <w:rsid w:val="00AB4B6C"/>
    <w:rsid w:val="00AC33B5"/>
    <w:rsid w:val="00AD3C5F"/>
    <w:rsid w:val="00AF79CB"/>
    <w:rsid w:val="00B00F34"/>
    <w:rsid w:val="00B02196"/>
    <w:rsid w:val="00B03C58"/>
    <w:rsid w:val="00B15271"/>
    <w:rsid w:val="00B36E45"/>
    <w:rsid w:val="00B457AA"/>
    <w:rsid w:val="00B51126"/>
    <w:rsid w:val="00B70B7D"/>
    <w:rsid w:val="00B730A8"/>
    <w:rsid w:val="00B73520"/>
    <w:rsid w:val="00B8475C"/>
    <w:rsid w:val="00B8627E"/>
    <w:rsid w:val="00B86F08"/>
    <w:rsid w:val="00B87D73"/>
    <w:rsid w:val="00BC1975"/>
    <w:rsid w:val="00BE67E5"/>
    <w:rsid w:val="00BF7766"/>
    <w:rsid w:val="00C10437"/>
    <w:rsid w:val="00C20591"/>
    <w:rsid w:val="00C22542"/>
    <w:rsid w:val="00C32B49"/>
    <w:rsid w:val="00C3631C"/>
    <w:rsid w:val="00C700C9"/>
    <w:rsid w:val="00C70C00"/>
    <w:rsid w:val="00C72BF1"/>
    <w:rsid w:val="00C76634"/>
    <w:rsid w:val="00C87686"/>
    <w:rsid w:val="00CB6924"/>
    <w:rsid w:val="00CD0E1C"/>
    <w:rsid w:val="00CF5E93"/>
    <w:rsid w:val="00D415D2"/>
    <w:rsid w:val="00D470A0"/>
    <w:rsid w:val="00D47507"/>
    <w:rsid w:val="00D53324"/>
    <w:rsid w:val="00D53ACC"/>
    <w:rsid w:val="00D53B88"/>
    <w:rsid w:val="00D72B7C"/>
    <w:rsid w:val="00D8618F"/>
    <w:rsid w:val="00D97A3D"/>
    <w:rsid w:val="00DA3138"/>
    <w:rsid w:val="00DC0776"/>
    <w:rsid w:val="00DC1145"/>
    <w:rsid w:val="00DC5763"/>
    <w:rsid w:val="00DD549F"/>
    <w:rsid w:val="00DD6843"/>
    <w:rsid w:val="00DE7671"/>
    <w:rsid w:val="00DE7DA2"/>
    <w:rsid w:val="00DF2FDE"/>
    <w:rsid w:val="00E005C5"/>
    <w:rsid w:val="00E03C66"/>
    <w:rsid w:val="00E1060C"/>
    <w:rsid w:val="00E165EB"/>
    <w:rsid w:val="00E40F49"/>
    <w:rsid w:val="00E411E2"/>
    <w:rsid w:val="00E429B4"/>
    <w:rsid w:val="00E44157"/>
    <w:rsid w:val="00E7275B"/>
    <w:rsid w:val="00E777A2"/>
    <w:rsid w:val="00EB0340"/>
    <w:rsid w:val="00EB262F"/>
    <w:rsid w:val="00EC2746"/>
    <w:rsid w:val="00ED6190"/>
    <w:rsid w:val="00EF1D67"/>
    <w:rsid w:val="00F02E2D"/>
    <w:rsid w:val="00F25A40"/>
    <w:rsid w:val="00F270B6"/>
    <w:rsid w:val="00F42EB3"/>
    <w:rsid w:val="00F46390"/>
    <w:rsid w:val="00F560B3"/>
    <w:rsid w:val="00F71CBB"/>
    <w:rsid w:val="00F74798"/>
    <w:rsid w:val="00F80C56"/>
    <w:rsid w:val="00F85741"/>
    <w:rsid w:val="00F94C4E"/>
    <w:rsid w:val="00F95CF9"/>
    <w:rsid w:val="00FA65B4"/>
    <w:rsid w:val="00FB04FB"/>
    <w:rsid w:val="00FB3326"/>
    <w:rsid w:val="00FD38FB"/>
    <w:rsid w:val="00FD5577"/>
    <w:rsid w:val="00FF1EEB"/>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3F9A6-DF11-4EEE-B056-A3446B17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4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rsid w:val="003624F9"/>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link w:val="30"/>
    <w:rsid w:val="003624F9"/>
    <w:rPr>
      <w:rFonts w:ascii="Times New Roman" w:eastAsia="Times New Roman" w:hAnsi="Times New Roman" w:cs="Times New Roman"/>
      <w:b/>
      <w:bCs/>
      <w:shd w:val="clear" w:color="auto" w:fill="FFFFFF"/>
    </w:rPr>
  </w:style>
  <w:style w:type="character" w:customStyle="1" w:styleId="32pt">
    <w:name w:val="Основной текст (3) + Интервал 2 pt"/>
    <w:rsid w:val="003624F9"/>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1">
    <w:name w:val="Заголовок №1_"/>
    <w:link w:val="10"/>
    <w:rsid w:val="003624F9"/>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3624F9"/>
    <w:pPr>
      <w:widowControl w:val="0"/>
      <w:shd w:val="clear" w:color="auto" w:fill="FFFFFF"/>
      <w:spacing w:after="0" w:line="0" w:lineRule="atLeast"/>
      <w:jc w:val="center"/>
    </w:pPr>
    <w:rPr>
      <w:rFonts w:ascii="Times New Roman" w:eastAsia="Times New Roman" w:hAnsi="Times New Roman" w:cs="Times New Roman"/>
      <w:b/>
      <w:bCs/>
    </w:rPr>
  </w:style>
  <w:style w:type="paragraph" w:customStyle="1" w:styleId="10">
    <w:name w:val="Заголовок №1"/>
    <w:basedOn w:val="a"/>
    <w:link w:val="1"/>
    <w:rsid w:val="003624F9"/>
    <w:pPr>
      <w:widowControl w:val="0"/>
      <w:shd w:val="clear" w:color="auto" w:fill="FFFFFF"/>
      <w:spacing w:after="0" w:line="317" w:lineRule="exact"/>
      <w:jc w:val="center"/>
      <w:outlineLvl w:val="0"/>
    </w:pPr>
    <w:rPr>
      <w:rFonts w:ascii="Times New Roman" w:eastAsia="Times New Roman" w:hAnsi="Times New Roman" w:cs="Times New Roman"/>
      <w:b/>
      <w:bCs/>
      <w:sz w:val="26"/>
      <w:szCs w:val="26"/>
    </w:rPr>
  </w:style>
  <w:style w:type="paragraph" w:styleId="a3">
    <w:name w:val="header"/>
    <w:basedOn w:val="a"/>
    <w:link w:val="a4"/>
    <w:uiPriority w:val="99"/>
    <w:unhideWhenUsed/>
    <w:rsid w:val="003624F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4">
    <w:name w:val="Верхний колонтитул Знак"/>
    <w:basedOn w:val="a0"/>
    <w:link w:val="a3"/>
    <w:uiPriority w:val="99"/>
    <w:rsid w:val="003624F9"/>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3624F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6">
    <w:name w:val="Нижний колонтитул Знак"/>
    <w:basedOn w:val="a0"/>
    <w:link w:val="a5"/>
    <w:uiPriority w:val="99"/>
    <w:rsid w:val="003624F9"/>
    <w:rPr>
      <w:rFonts w:ascii="Arial Unicode MS" w:eastAsia="Arial Unicode MS" w:hAnsi="Arial Unicode MS" w:cs="Arial Unicode MS"/>
      <w:color w:val="000000"/>
      <w:sz w:val="24"/>
      <w:szCs w:val="24"/>
      <w:lang w:eastAsia="ru-RU" w:bidi="ru-RU"/>
    </w:rPr>
  </w:style>
  <w:style w:type="paragraph" w:styleId="a7">
    <w:name w:val="List Paragraph"/>
    <w:basedOn w:val="a"/>
    <w:uiPriority w:val="34"/>
    <w:qFormat/>
    <w:rsid w:val="00B87D73"/>
    <w:pPr>
      <w:ind w:left="720"/>
      <w:contextualSpacing/>
    </w:pPr>
  </w:style>
  <w:style w:type="paragraph" w:customStyle="1" w:styleId="ConsPlusNormal">
    <w:name w:val="ConsPlusNormal"/>
    <w:rsid w:val="00B87D73"/>
    <w:pPr>
      <w:autoSpaceDE w:val="0"/>
      <w:autoSpaceDN w:val="0"/>
      <w:adjustRightInd w:val="0"/>
      <w:spacing w:after="0" w:line="240" w:lineRule="auto"/>
    </w:pPr>
    <w:rPr>
      <w:rFonts w:ascii="Times New Roman" w:hAnsi="Times New Roman" w:cs="Times New Roman"/>
    </w:rPr>
  </w:style>
  <w:style w:type="table" w:styleId="a8">
    <w:name w:val="Table Grid"/>
    <w:basedOn w:val="a1"/>
    <w:uiPriority w:val="39"/>
    <w:rsid w:val="00B87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94C4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94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4DC9-40D8-431F-B3DA-974ED35C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3483</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Виталий Геннадьевич</dc:creator>
  <cp:lastModifiedBy>Дудкин Сергей Анатольевич</cp:lastModifiedBy>
  <cp:revision>14</cp:revision>
  <cp:lastPrinted>2016-05-04T11:29:00Z</cp:lastPrinted>
  <dcterms:created xsi:type="dcterms:W3CDTF">2016-04-21T02:46:00Z</dcterms:created>
  <dcterms:modified xsi:type="dcterms:W3CDTF">2016-05-07T15:21:00Z</dcterms:modified>
</cp:coreProperties>
</file>