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F5" w:rsidRDefault="00CB0BF5" w:rsidP="00CB0BF5">
      <w:pPr>
        <w:spacing w:after="0" w:line="240" w:lineRule="auto"/>
        <w:ind w:right="-1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>
        <w:rPr>
          <w:rFonts w:ascii="Garamond" w:hAnsi="Garamond"/>
          <w:b/>
          <w:sz w:val="28"/>
          <w:szCs w:val="28"/>
        </w:rPr>
        <w:t xml:space="preserve">.4. </w:t>
      </w:r>
      <w:r>
        <w:rPr>
          <w:rFonts w:ascii="Garamond" w:hAnsi="Garamond" w:cs="Arial"/>
          <w:b/>
          <w:sz w:val="28"/>
          <w:szCs w:val="28"/>
        </w:rPr>
        <w:t>Изменения, связанные с детализацией порядка регистрации признака технической неготовности СОТИАССО</w:t>
      </w:r>
    </w:p>
    <w:p w:rsidR="00CB0BF5" w:rsidRDefault="00CB0BF5" w:rsidP="00CB0BF5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:rsidR="00CB0BF5" w:rsidRDefault="00CB0BF5" w:rsidP="00CB0BF5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 w:cs="Arial"/>
          <w:b/>
          <w:sz w:val="28"/>
          <w:szCs w:val="28"/>
        </w:rPr>
        <w:t>Приложение № 6.4</w:t>
      </w:r>
    </w:p>
    <w:p w:rsidR="00932D7E" w:rsidRDefault="00932D7E" w:rsidP="00CB0BF5">
      <w:pPr>
        <w:spacing w:after="0" w:line="240" w:lineRule="auto"/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:rsidR="009C6DBF" w:rsidRPr="009A5271" w:rsidRDefault="009C6DBF" w:rsidP="00FA57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Garamond" w:hAnsi="Garamond"/>
          <w:sz w:val="24"/>
          <w:szCs w:val="24"/>
        </w:rPr>
      </w:pPr>
      <w:r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 w:rsidR="00426B60"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</w:t>
      </w:r>
      <w:r w:rsidR="000F023D" w:rsidRPr="009A5271">
        <w:rPr>
          <w:rFonts w:ascii="Garamond" w:hAnsi="Garamond"/>
          <w:sz w:val="24"/>
          <w:szCs w:val="24"/>
        </w:rPr>
        <w:t>АО «СО ЕЭС»</w:t>
      </w:r>
      <w:r w:rsidR="00932D7E">
        <w:rPr>
          <w:rFonts w:ascii="Garamond" w:hAnsi="Garamond"/>
          <w:sz w:val="24"/>
          <w:szCs w:val="24"/>
        </w:rPr>
        <w:t>.</w:t>
      </w:r>
    </w:p>
    <w:p w:rsidR="0013652F" w:rsidRPr="009A5271" w:rsidRDefault="00FA5712" w:rsidP="00B322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9A5271">
        <w:rPr>
          <w:rFonts w:ascii="Garamond" w:hAnsi="Garamond"/>
          <w:b/>
          <w:sz w:val="24"/>
          <w:szCs w:val="24"/>
        </w:rPr>
        <w:t>Обоснование</w:t>
      </w:r>
      <w:r w:rsidR="00D75F39" w:rsidRPr="009A5271">
        <w:rPr>
          <w:rFonts w:ascii="Garamond" w:hAnsi="Garamond"/>
          <w:b/>
          <w:sz w:val="24"/>
          <w:szCs w:val="24"/>
        </w:rPr>
        <w:t>:</w:t>
      </w:r>
      <w:r w:rsidR="00D75F39" w:rsidRPr="009A5271">
        <w:rPr>
          <w:rFonts w:ascii="Garamond" w:hAnsi="Garamond"/>
          <w:sz w:val="24"/>
          <w:szCs w:val="24"/>
        </w:rPr>
        <w:t xml:space="preserve"> </w:t>
      </w:r>
      <w:r w:rsidR="00D75F39">
        <w:rPr>
          <w:rFonts w:ascii="Garamond" w:hAnsi="Garamond"/>
          <w:sz w:val="24"/>
          <w:szCs w:val="24"/>
        </w:rPr>
        <w:t>предлагается</w:t>
      </w:r>
      <w:r w:rsidR="004B5272">
        <w:rPr>
          <w:rFonts w:ascii="Garamond" w:hAnsi="Garamond"/>
          <w:sz w:val="24"/>
          <w:szCs w:val="24"/>
        </w:rPr>
        <w:t xml:space="preserve"> </w:t>
      </w:r>
      <w:r w:rsidR="0069414A">
        <w:rPr>
          <w:rFonts w:ascii="Garamond" w:hAnsi="Garamond"/>
          <w:sz w:val="24"/>
          <w:szCs w:val="24"/>
        </w:rPr>
        <w:t>внести изменения в Регламент определения объемов фактически поставленной на оптовый рынок мощности (Приложение №</w:t>
      </w:r>
      <w:r w:rsidR="00E931EF">
        <w:rPr>
          <w:rFonts w:ascii="Garamond" w:hAnsi="Garamond"/>
          <w:sz w:val="24"/>
          <w:szCs w:val="24"/>
        </w:rPr>
        <w:t xml:space="preserve"> </w:t>
      </w:r>
      <w:r w:rsidR="0069414A">
        <w:rPr>
          <w:rFonts w:ascii="Garamond" w:hAnsi="Garamond"/>
          <w:sz w:val="24"/>
          <w:szCs w:val="24"/>
        </w:rPr>
        <w:t xml:space="preserve">13 к Договору о присоединении к торговой системе оптового рынка) в части </w:t>
      </w:r>
      <w:r w:rsidR="004B5272">
        <w:rPr>
          <w:rFonts w:ascii="Garamond" w:hAnsi="Garamond"/>
          <w:sz w:val="24"/>
          <w:szCs w:val="24"/>
        </w:rPr>
        <w:t>детализ</w:t>
      </w:r>
      <w:r w:rsidR="0069414A">
        <w:rPr>
          <w:rFonts w:ascii="Garamond" w:hAnsi="Garamond"/>
          <w:sz w:val="24"/>
          <w:szCs w:val="24"/>
        </w:rPr>
        <w:t>ации</w:t>
      </w:r>
      <w:r w:rsidR="004B5272">
        <w:rPr>
          <w:rFonts w:ascii="Garamond" w:hAnsi="Garamond"/>
          <w:sz w:val="24"/>
          <w:szCs w:val="24"/>
        </w:rPr>
        <w:t xml:space="preserve"> порядк</w:t>
      </w:r>
      <w:r w:rsidR="0069414A">
        <w:rPr>
          <w:rFonts w:ascii="Garamond" w:hAnsi="Garamond"/>
          <w:sz w:val="24"/>
          <w:szCs w:val="24"/>
        </w:rPr>
        <w:t>а</w:t>
      </w:r>
      <w:r w:rsidR="004B5272">
        <w:rPr>
          <w:rFonts w:ascii="Garamond" w:hAnsi="Garamond"/>
          <w:sz w:val="24"/>
          <w:szCs w:val="24"/>
        </w:rPr>
        <w:t xml:space="preserve"> регистрации признака технической неготовности Системы обмена технологической информацией с автоматизированной системой СО (СОТИАССО).</w:t>
      </w:r>
    </w:p>
    <w:p w:rsidR="0013652F" w:rsidRPr="002C7565" w:rsidRDefault="0013652F" w:rsidP="001365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</w:pPr>
      <w:r w:rsidRPr="009A5271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</w:t>
      </w:r>
      <w:r w:rsidRPr="002C7565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 xml:space="preserve"> в силу: </w:t>
      </w:r>
      <w:r w:rsidR="00647AE3">
        <w:rPr>
          <w:rFonts w:ascii="Garamond" w:eastAsia="Times New Roman" w:hAnsi="Garamond" w:cs="Garamond"/>
          <w:bCs/>
          <w:sz w:val="24"/>
          <w:szCs w:val="24"/>
          <w:lang w:eastAsia="ru-RU"/>
        </w:rPr>
        <w:t>1 августа</w:t>
      </w:r>
      <w:r w:rsidR="00863A01"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2021 года.</w:t>
      </w:r>
    </w:p>
    <w:p w:rsidR="0013652F" w:rsidRDefault="0013652F" w:rsidP="00932D7E">
      <w:pPr>
        <w:tabs>
          <w:tab w:val="left" w:pos="709"/>
        </w:tabs>
        <w:spacing w:after="0" w:line="240" w:lineRule="auto"/>
        <w:ind w:firstLine="287"/>
        <w:jc w:val="both"/>
        <w:rPr>
          <w:rFonts w:ascii="Garamond" w:hAnsi="Garamond"/>
          <w:b/>
        </w:rPr>
      </w:pPr>
    </w:p>
    <w:p w:rsidR="00A809D4" w:rsidRDefault="00A809D4" w:rsidP="00932D7E">
      <w:pPr>
        <w:spacing w:after="0" w:line="240" w:lineRule="auto"/>
        <w:rPr>
          <w:rFonts w:ascii="Garamond" w:hAnsi="Garamond"/>
          <w:b/>
          <w:sz w:val="26"/>
          <w:szCs w:val="26"/>
        </w:rPr>
      </w:pPr>
      <w:r w:rsidRPr="003F228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A40DCC" w:rsidRPr="003F2284">
        <w:rPr>
          <w:rFonts w:ascii="Garamond" w:hAnsi="Garamond"/>
          <w:b/>
          <w:sz w:val="26"/>
          <w:szCs w:val="26"/>
        </w:rPr>
        <w:t>РЕГ</w:t>
      </w:r>
      <w:bookmarkStart w:id="0" w:name="_GoBack"/>
      <w:bookmarkEnd w:id="0"/>
      <w:r w:rsidR="00A40DCC" w:rsidRPr="003F2284">
        <w:rPr>
          <w:rFonts w:ascii="Garamond" w:hAnsi="Garamond"/>
          <w:b/>
          <w:sz w:val="26"/>
          <w:szCs w:val="26"/>
        </w:rPr>
        <w:t xml:space="preserve">ЛАМЕНТ ОПРЕДЕЛЕНИЯ ОБЪЕМОВ ФАКТИЧЕСКИ ПОСТАВЛЕННОЙ НА ОПТОВЫЙ РЫНОК МОЩНОСТИ </w:t>
      </w:r>
      <w:r w:rsidRPr="003F2284">
        <w:rPr>
          <w:rFonts w:ascii="Garamond" w:hAnsi="Garamond"/>
          <w:b/>
          <w:sz w:val="26"/>
          <w:szCs w:val="26"/>
        </w:rPr>
        <w:t xml:space="preserve">(Приложение № </w:t>
      </w:r>
      <w:r w:rsidR="00A40DCC" w:rsidRPr="003F2284">
        <w:rPr>
          <w:rFonts w:ascii="Garamond" w:hAnsi="Garamond"/>
          <w:b/>
          <w:sz w:val="26"/>
          <w:szCs w:val="26"/>
        </w:rPr>
        <w:t>13</w:t>
      </w:r>
      <w:r w:rsidRPr="003F2284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:rsidR="00932D7E" w:rsidRPr="003F2284" w:rsidRDefault="00932D7E" w:rsidP="00932D7E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5099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2"/>
        <w:gridCol w:w="7275"/>
        <w:gridCol w:w="7220"/>
      </w:tblGrid>
      <w:tr w:rsidR="00A809D4" w:rsidRPr="002C7565" w:rsidTr="003D5AFC">
        <w:trPr>
          <w:trHeight w:val="435"/>
          <w:tblHeader/>
        </w:trPr>
        <w:tc>
          <w:tcPr>
            <w:tcW w:w="302" w:type="pct"/>
            <w:tcMar>
              <w:left w:w="57" w:type="dxa"/>
              <w:right w:w="57" w:type="dxa"/>
            </w:tcMar>
            <w:vAlign w:val="center"/>
          </w:tcPr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358" w:type="pct"/>
            <w:vAlign w:val="center"/>
          </w:tcPr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Редакция, действующая на момент</w:t>
            </w:r>
          </w:p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 xml:space="preserve"> вступления в силу изменений</w:t>
            </w:r>
          </w:p>
        </w:tc>
        <w:tc>
          <w:tcPr>
            <w:tcW w:w="2340" w:type="pct"/>
            <w:vAlign w:val="center"/>
          </w:tcPr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A809D4" w:rsidRPr="002C7565" w:rsidRDefault="00A809D4" w:rsidP="004F72BA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 w:rsidRPr="002C7565"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A40DCC" w:rsidRPr="002C7565" w:rsidTr="004F72BA">
        <w:trPr>
          <w:trHeight w:val="345"/>
        </w:trPr>
        <w:tc>
          <w:tcPr>
            <w:tcW w:w="302" w:type="pct"/>
            <w:vAlign w:val="center"/>
          </w:tcPr>
          <w:p w:rsidR="00A40DCC" w:rsidRDefault="00932D7E" w:rsidP="00932D7E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3.5</w:t>
            </w:r>
          </w:p>
        </w:tc>
        <w:tc>
          <w:tcPr>
            <w:tcW w:w="2358" w:type="pct"/>
          </w:tcPr>
          <w:p w:rsidR="00A40DCC" w:rsidRPr="00A40DCC" w:rsidRDefault="00A40DCC" w:rsidP="00932D7E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bookmarkStart w:id="1" w:name="_Toc57848816"/>
            <w:r w:rsidRPr="00A40DCC">
              <w:rPr>
                <w:rFonts w:ascii="Garamond" w:hAnsi="Garamond"/>
                <w:sz w:val="22"/>
                <w:szCs w:val="22"/>
              </w:rPr>
              <w:t>Порядок определения выполнения технических требований к обмену технологической информацией с автоматизированной системой СО</w:t>
            </w:r>
            <w:bookmarkEnd w:id="1"/>
          </w:p>
          <w:p w:rsidR="00A40DCC" w:rsidRPr="00A40DCC" w:rsidRDefault="00A40DCC" w:rsidP="00932D7E">
            <w:pPr>
              <w:pStyle w:val="ae"/>
              <w:widowControl w:val="0"/>
              <w:numPr>
                <w:ilvl w:val="0"/>
                <w:numId w:val="31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СО по итогам контроля выполнения технических требований к СОТИАССО электростанций, в отношении которых зарегистрированы ГТП генерации, регистрирует по соответствующей ГТП признак технической неготовности СОТИАССО в отчетном месяце</w:t>
            </w:r>
            <w:r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в следующих случаях: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num" w:pos="851"/>
              </w:tabs>
              <w:adjustRightInd w:val="0"/>
              <w:spacing w:before="120" w:after="120"/>
              <w:ind w:left="604" w:hanging="37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1) при отсутствии на 1 (первое) число отчетного месяца введенной в эксплуатацию СОТИАССО;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604" w:hanging="377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2) при выявлении суммарно в течение 48 (сорока восьми) и более часов за отчетный месяц нарушений требований к обмену технологической информацией с автоматизированной системой СО, указанных в </w:t>
            </w:r>
            <w:r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приложении 3 к </w:t>
            </w:r>
            <w:r w:rsidRPr="00A40DCC">
              <w:rPr>
                <w:rFonts w:ascii="Garamond" w:hAnsi="Garamond"/>
                <w:bCs/>
                <w:i/>
                <w:color w:val="000000"/>
                <w:sz w:val="22"/>
                <w:szCs w:val="22"/>
              </w:rPr>
              <w:t>Регламенту допуска к торговой системе оптового рынка</w:t>
            </w:r>
            <w:r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 xml:space="preserve">(Приложение № 1 к </w:t>
            </w:r>
            <w:r w:rsidRPr="00A40DCC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т. ч. в части фактического наличия в работе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голосовых и технологических каналов связи и средств телемеханики, </w:t>
            </w:r>
            <w:r w:rsidRP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 также в части готовности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к получению ПБР (ППБР, ДДГ – для второй неценовой зоны) и (или) получению/передаче оперативных уведомлений;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с учетом особенностей, предусмотренных абзацем 9 пункта 2.4.10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40DC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допуска к торговой системе оптового рынка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 к </w:t>
            </w:r>
            <w:r w:rsidRPr="00A40DC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>) и пунктом 3.5.4 настоящего Регламента.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</w:tabs>
              <w:adjustRightInd w:val="0"/>
              <w:spacing w:before="120" w:after="120"/>
              <w:ind w:left="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3.5.1. Порядок определения технической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неготовности к получению ПБР (ППБР, ДДГ – для второй неценовой зоны) и (или) получению/передаче оперативных уведомлений.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t xml:space="preserve">Техническая </w:t>
            </w:r>
            <w:r w:rsidRPr="00D000BC">
              <w:rPr>
                <w:rFonts w:ascii="Garamond" w:hAnsi="Garamond"/>
                <w:sz w:val="22"/>
                <w:szCs w:val="22"/>
              </w:rPr>
              <w:t xml:space="preserve">неготовность к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получению ПБР (ППБР, ДДГ – для второй неценовой зоны)</w:t>
            </w:r>
            <w:r w:rsidRPr="00D000BC">
              <w:rPr>
                <w:rFonts w:ascii="Garamond" w:hAnsi="Garamond"/>
                <w:sz w:val="22"/>
                <w:szCs w:val="22"/>
              </w:rPr>
              <w:t xml:space="preserve"> и (или) получению/передаче оперативных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уведомлений – ситуация, при которой на объекте электроэнергетики,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в 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состав которого входит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данная ГТП,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по техническим причинам не могут формироваться оперативные уведомления и</w:t>
            </w:r>
            <w:r w:rsidRPr="00A40DC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(или) надлежащим образом приниматься данные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ПБР (ППБР, ДДГ – для второй неценовой зоны)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 xml:space="preserve">результирующая информация о составе, актуальных параметрах и ограничениях режимов работы генерирующего оборудования, </w:t>
            </w:r>
            <w:r w:rsidRPr="00A40DCC">
              <w:rPr>
                <w:rFonts w:ascii="Garamond" w:hAnsi="Garamond"/>
                <w:sz w:val="22"/>
                <w:szCs w:val="22"/>
              </w:rPr>
              <w:t>публикуемая на Шлюзе СО.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Техническая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неготовность к получению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ПБР (ППБР, ДДГ – для второй неценовой зоны) и (или)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получению/передаче оперативных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уведомлений для ГТП участника оптового рынка устанавливается </w:t>
            </w:r>
            <w:r w:rsidRPr="001E6FF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заявительном порядке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и (или) по результатам осуществления С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истемным оператором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мониторинга выполнения участником технических требований в части обмена технологической информацией с автоматизированной системой СО на основании следующей информации: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– уведомления участником оптового рынка СО о временной неготовности к получению данных ПБР (ППБР, ДДГ – для второй неценовой зоны) и (или) получению/передаче оперативных уведомлений, в т. ч. для проведения профилактических и наладочных работ путем передачи соответствующей диспетчерской заявки и (или) с использованием диспетчерской связи при условии указания периода неготовности;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– результатов контроля регулярного обмена (факта отправки и времени доставки сообщений) технологическими уведомлениями, порождаемыми клиентской версией 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 xml:space="preserve">автоматизированной системы подготовки и передачи уведомлений о составе и параметрах оборудования (консоль сбора данных об изменении системных 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условий – КИСУ)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с учетом требований 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 xml:space="preserve">приложения 3 к </w:t>
            </w:r>
            <w:r w:rsidRPr="00A40DCC">
              <w:rPr>
                <w:rFonts w:ascii="Garamond" w:hAnsi="Garamond"/>
                <w:bCs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 xml:space="preserve"> (Приложение № 1 к </w:t>
            </w:r>
            <w:r w:rsidRPr="00A40DCC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. Указанные уведомления формируются в автоматическом режиме КИСУ, в т. ч. по расписанию;</w:t>
            </w:r>
          </w:p>
          <w:p w:rsidR="00A40DCC" w:rsidRPr="00A40DCC" w:rsidRDefault="00A40DCC" w:rsidP="00932D7E">
            <w:pPr>
              <w:widowControl w:val="0"/>
              <w:spacing w:before="120" w:after="120" w:line="240" w:lineRule="auto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A40DCC">
              <w:rPr>
                <w:rFonts w:ascii="Garamond" w:hAnsi="Garamond"/>
                <w:color w:val="000000"/>
              </w:rPr>
              <w:t>– информации о времени получения подтверждения о доставке (получении) ПБР (ППБР, ДДГ – для второй неценовой зоны) позднее времени начала его действия;</w:t>
            </w:r>
          </w:p>
          <w:p w:rsidR="00A40DCC" w:rsidRPr="00A40DCC" w:rsidRDefault="00A40DCC" w:rsidP="00932D7E">
            <w:pPr>
              <w:widowControl w:val="0"/>
              <w:spacing w:before="120" w:after="120" w:line="240" w:lineRule="auto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A40DCC">
              <w:rPr>
                <w:rFonts w:ascii="Garamond" w:hAnsi="Garamond"/>
                <w:color w:val="000000"/>
              </w:rPr>
              <w:t>– информации о невозможности формирования и передачи в СО оперативного уведомления с помощью КИСУ, установленной на рабочем месте оператора участника оптового рынка (электростанции).</w:t>
            </w:r>
          </w:p>
          <w:p w:rsidR="00A40DCC" w:rsidRPr="00A40DCC" w:rsidRDefault="00A40DCC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t>3.5.2. Нарушение обмена технологической информацией, которое не было устранено до завершения отчетного месяца, является пограничным и рассматривается как два нарушения. Длительность одного из них определяется как интервал времени с момента возникновения пограничного нарушения до конца отчетного месяца и учитывается в отчетном месяце, а длительность другого – как время с начала нового отчетного месяца до момента устранения пограничного нарушения и учитывается в новом отчетном месяце.</w:t>
            </w:r>
          </w:p>
          <w:p w:rsidR="00A40DCC" w:rsidRPr="00317057" w:rsidRDefault="001A299D" w:rsidP="00932D7E">
            <w:pPr>
              <w:widowControl w:val="0"/>
              <w:tabs>
                <w:tab w:val="num" w:pos="442"/>
              </w:tabs>
              <w:spacing w:before="120" w:after="120" w:line="240" w:lineRule="auto"/>
              <w:jc w:val="both"/>
              <w:rPr>
                <w:rFonts w:ascii="Garamond" w:hAnsi="Garamond"/>
                <w:color w:val="000000"/>
                <w:kern w:val="28"/>
              </w:rPr>
            </w:pPr>
            <w:r w:rsidRPr="001A299D">
              <w:rPr>
                <w:rFonts w:ascii="Garamond" w:hAnsi="Garamond"/>
                <w:color w:val="000000"/>
                <w:kern w:val="28"/>
              </w:rPr>
              <w:t>…</w:t>
            </w:r>
          </w:p>
        </w:tc>
        <w:tc>
          <w:tcPr>
            <w:tcW w:w="2340" w:type="pct"/>
            <w:shd w:val="clear" w:color="auto" w:fill="auto"/>
          </w:tcPr>
          <w:p w:rsidR="00A40DCC" w:rsidRPr="00A40DCC" w:rsidRDefault="00A40DCC" w:rsidP="00932D7E">
            <w:pPr>
              <w:pStyle w:val="3"/>
              <w:keepNext w:val="0"/>
              <w:widowControl w:val="0"/>
              <w:spacing w:before="120" w:after="120" w:line="240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lastRenderedPageBreak/>
              <w:t>Порядок определения выполнения технических требований к обмену технологической информацией с автоматизированной системой СО</w:t>
            </w:r>
          </w:p>
          <w:p w:rsidR="00A40DCC" w:rsidRPr="00A40DCC" w:rsidRDefault="00A40DCC" w:rsidP="00932D7E">
            <w:pPr>
              <w:pStyle w:val="ae"/>
              <w:widowControl w:val="0"/>
              <w:numPr>
                <w:ilvl w:val="0"/>
                <w:numId w:val="31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СО по итогам контроля выполнения технических требований к СОТИАССО электростанций, в отношении которых зарегистрированы ГТП генерации, регистрирует по соответствующей ГТП признак технической неготовности СОТИАССО в отчетном месяце</w:t>
            </w:r>
            <w:r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в следующих случаях:</w:t>
            </w:r>
          </w:p>
          <w:p w:rsidR="00A40DCC" w:rsidRDefault="00A40DCC" w:rsidP="00932D7E">
            <w:pPr>
              <w:pStyle w:val="ae"/>
              <w:widowControl w:val="0"/>
              <w:numPr>
                <w:ilvl w:val="0"/>
                <w:numId w:val="34"/>
              </w:numPr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при отсутствии на 1 (первое) число отчетного месяца введенной в</w:t>
            </w:r>
            <w:r w:rsidR="00A75F75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A75F75" w:rsidRPr="00A75F7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опытную</w:t>
            </w:r>
            <w:r w:rsidR="00A75F7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или промышленную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эксплуатацию СОТИАССО;</w:t>
            </w:r>
          </w:p>
          <w:p w:rsidR="00A75F75" w:rsidRPr="001F1394" w:rsidRDefault="00F92B2B" w:rsidP="00932D7E">
            <w:pPr>
              <w:pStyle w:val="ae"/>
              <w:widowControl w:val="0"/>
              <w:numPr>
                <w:ilvl w:val="0"/>
                <w:numId w:val="34"/>
              </w:numPr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при невыполнении</w:t>
            </w:r>
            <w:r w:rsidR="00D000BC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полном объеме </w:t>
            </w:r>
            <w:r w:rsidR="0090463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требований к СОТИАССО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</w:t>
            </w:r>
            <w:r w:rsidR="0090463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предусмотренных </w:t>
            </w:r>
            <w:r w:rsidR="001922A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разделами 1</w:t>
            </w:r>
            <w:r w:rsidR="001922A3" w:rsidRPr="001922A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="00C81583" w:rsidRPr="001922A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9</w:t>
            </w:r>
            <w:r w:rsidR="00C8158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приложени</w:t>
            </w:r>
            <w:r w:rsidR="00C8158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я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3 к </w:t>
            </w:r>
            <w:r w:rsidR="00F8675E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="00F8675E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="00F8675E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F8675E" w:rsidRPr="001F139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F8675E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</w:t>
            </w:r>
            <w:r w:rsidR="00A75F75" w:rsidRPr="001F1394">
              <w:rPr>
                <w:rFonts w:ascii="Garamond" w:hAnsi="Garamond"/>
                <w:sz w:val="22"/>
                <w:szCs w:val="22"/>
                <w:highlight w:val="yellow"/>
              </w:rPr>
              <w:t>по истечени</w:t>
            </w:r>
            <w:r w:rsidR="00817833" w:rsidRPr="001F1394">
              <w:rPr>
                <w:rFonts w:ascii="Garamond" w:hAnsi="Garamond"/>
                <w:sz w:val="22"/>
                <w:szCs w:val="22"/>
                <w:highlight w:val="yellow"/>
              </w:rPr>
              <w:t>и</w:t>
            </w:r>
            <w:r w:rsidR="00A75F75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6 месяцев с даты начала торговли электрической энергией (мощностью) на оптовом рынке с использованием ГТП</w:t>
            </w:r>
            <w:r w:rsidR="00D34833" w:rsidRPr="001F1394">
              <w:rPr>
                <w:rFonts w:ascii="Garamond" w:hAnsi="Garamond"/>
                <w:sz w:val="22"/>
                <w:szCs w:val="22"/>
                <w:highlight w:val="yellow"/>
              </w:rPr>
              <w:t>, включающей вновь вводимое</w:t>
            </w:r>
            <w:r w:rsidR="0034304C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в эксплуатацию</w:t>
            </w:r>
            <w:r w:rsidR="000443DB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(модернизированное)</w:t>
            </w:r>
            <w:r w:rsidR="00D3483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генерирующее оборудование</w:t>
            </w:r>
            <w:r w:rsidR="003C4E63" w:rsidRPr="001F1394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6E5ECD" w:rsidRPr="001F1394" w:rsidRDefault="006E5ECD" w:rsidP="00932D7E">
            <w:pPr>
              <w:pStyle w:val="ae"/>
              <w:widowControl w:val="0"/>
              <w:numPr>
                <w:ilvl w:val="0"/>
                <w:numId w:val="34"/>
              </w:numPr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при невыполнении требований к </w:t>
            </w:r>
            <w:r w:rsidR="00DC78F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СОТИАССО 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</w:t>
            </w:r>
            <w:r w:rsidR="00C8158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объеме и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сроки, </w:t>
            </w:r>
            <w:r w:rsidR="009F6F25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предусмотренны</w:t>
            </w:r>
            <w:r w:rsidR="00C8158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е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пунктом 10.9.2 приложения 3 к </w:t>
            </w:r>
            <w:r w:rsidRPr="001F1394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 xml:space="preserve">Регламенту допуска к </w:t>
            </w:r>
            <w:r w:rsidRPr="001F1394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lastRenderedPageBreak/>
              <w:t>торговой системе оптового рынка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 к </w:t>
            </w:r>
            <w:r w:rsidRPr="001F1394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), по ГТП генерации, зарегистрированным в отношении генерирующего оборудов</w:t>
            </w:r>
            <w:r w:rsidR="001922A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ания, указанного в буллитах 1–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3 пункта 10.9 приложения 3 к </w:t>
            </w:r>
            <w:r w:rsidRPr="001F1394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(Приложение № 1 к </w:t>
            </w:r>
            <w:r w:rsidRPr="001F1394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);</w:t>
            </w:r>
          </w:p>
          <w:p w:rsidR="00CD7094" w:rsidRPr="001F1394" w:rsidRDefault="00344354" w:rsidP="00932D7E">
            <w:pPr>
              <w:pStyle w:val="ae"/>
              <w:widowControl w:val="0"/>
              <w:numPr>
                <w:ilvl w:val="0"/>
                <w:numId w:val="34"/>
              </w:numPr>
              <w:adjustRightInd w:val="0"/>
              <w:spacing w:before="120" w:after="120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при невыполнении требований</w:t>
            </w:r>
            <w:r w:rsidR="007C449F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DC78FD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к </w:t>
            </w:r>
            <w:r w:rsidR="007C449F" w:rsidRPr="001F1394">
              <w:rPr>
                <w:rFonts w:ascii="Garamond" w:hAnsi="Garamond"/>
                <w:sz w:val="22"/>
                <w:szCs w:val="22"/>
                <w:highlight w:val="yellow"/>
              </w:rPr>
              <w:t>СОТИАССО</w:t>
            </w:r>
            <w:r w:rsidR="00C8158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в объеме и сроки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C134C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предусмотренны</w:t>
            </w:r>
            <w:r w:rsidR="00C81583" w:rsidRPr="001F1394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C134C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разделом 12 приложения 3 к </w:t>
            </w:r>
            <w:r w:rsidR="00C134C3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="00C134C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="00C134C3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C134C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), с учетом особенностей, 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указанных в п.</w:t>
            </w:r>
            <w:r w:rsidR="009E4EB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3.5.4 настоящего Регламента, по ГТП генерации, зарегистрированным в отношении генерирующего оборудования на территориях, ранее являвшихся технологически изолированными территориальными электроэнергетическими системами или относившихся к территориям, технологически не связанным с ЕЭС России и технологически изолированными территориальными электроэнергетическими системами;</w:t>
            </w:r>
          </w:p>
          <w:p w:rsidR="002E4066" w:rsidRDefault="006E5ECD" w:rsidP="00932D7E">
            <w:pPr>
              <w:pStyle w:val="ae"/>
              <w:widowControl w:val="0"/>
              <w:adjustRightInd w:val="0"/>
              <w:spacing w:before="120" w:after="120"/>
              <w:ind w:left="604" w:hanging="377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5</w:t>
            </w:r>
            <w:r w:rsidR="00A40DCC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</w:t>
            </w:r>
            <w:r w:rsidR="00A40DCC"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при выявлении суммарно в течение 48 (сорока восьми) и более часов за отчетный месяц нарушений требований к обмену технологической информацией с автоматизированной системой СО</w:t>
            </w:r>
            <w:r w:rsidR="00F02BE7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="00F02BE7"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указанных в </w:t>
            </w:r>
            <w:r w:rsidR="00F02BE7"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приложении 3 к </w:t>
            </w:r>
            <w:r w:rsidR="00F02BE7" w:rsidRPr="00A40DCC">
              <w:rPr>
                <w:rFonts w:ascii="Garamond" w:hAnsi="Garamond"/>
                <w:bCs/>
                <w:i/>
                <w:color w:val="000000"/>
                <w:sz w:val="22"/>
                <w:szCs w:val="22"/>
              </w:rPr>
              <w:t>Регламенту допуска к торговой системе оптового рынка</w:t>
            </w:r>
            <w:r w:rsidR="00F02BE7" w:rsidRPr="00A40DCC"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 </w:t>
            </w:r>
            <w:r w:rsidR="00F02BE7" w:rsidRPr="00A40DCC">
              <w:rPr>
                <w:rFonts w:ascii="Garamond" w:hAnsi="Garamond"/>
                <w:bCs/>
                <w:sz w:val="22"/>
                <w:szCs w:val="22"/>
              </w:rPr>
              <w:t xml:space="preserve">(Приложение № 1 к </w:t>
            </w:r>
            <w:r w:rsidR="00F02BE7" w:rsidRPr="00A40DCC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F02BE7" w:rsidRPr="00A40DCC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="00160CD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</w:t>
            </w:r>
            <w:r w:rsid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A04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обусловленных</w:t>
            </w:r>
            <w:r w:rsidR="002E4066" w:rsidRPr="002E406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:</w:t>
            </w:r>
          </w:p>
          <w:p w:rsidR="00F02BE7" w:rsidRPr="00A40DCC" w:rsidRDefault="00186516" w:rsidP="00932D7E">
            <w:pPr>
              <w:pStyle w:val="ae"/>
              <w:widowControl w:val="0"/>
              <w:numPr>
                <w:ilvl w:val="0"/>
                <w:numId w:val="32"/>
              </w:numPr>
              <w:adjustRightInd w:val="0"/>
              <w:spacing w:before="120" w:after="120"/>
              <w:ind w:left="859" w:hanging="283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техническ</w:t>
            </w:r>
            <w:r w:rsidR="00160CD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ой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неготовност</w:t>
            </w:r>
            <w:r w:rsidR="00160CD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ью</w:t>
            </w:r>
            <w:r w:rsidR="00F02BE7"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голосовых и технологических каналов связи и средств телемеханики</w:t>
            </w:r>
            <w:r w:rsidR="00F02BE7" w:rsidRP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:rsidR="002E4066" w:rsidRDefault="00186516" w:rsidP="00932D7E">
            <w:pPr>
              <w:pStyle w:val="ae"/>
              <w:widowControl w:val="0"/>
              <w:numPr>
                <w:ilvl w:val="0"/>
                <w:numId w:val="32"/>
              </w:numPr>
              <w:adjustRightInd w:val="0"/>
              <w:spacing w:before="120" w:after="120"/>
              <w:ind w:left="859" w:hanging="283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техническ</w:t>
            </w:r>
            <w:r w:rsidR="00160CDF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ой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2E4066" w:rsidRP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неготовност</w:t>
            </w:r>
            <w:r w:rsidR="00F02BE7" w:rsidRPr="00F02BE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ью</w:t>
            </w:r>
            <w:r w:rsidR="002E4066"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к получению ПБР (ППБР, ДДГ – для второй неценовой зоны) и (или) получению/передаче оперативных уведомлений</w:t>
            </w:r>
            <w:r w:rsidR="00F02BE7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>с учетом особенностей, предусмотренных абзацем 9 пункта 2.4.10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A40DCC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допуска к торговой системе оптового рынка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1 к </w:t>
            </w:r>
            <w:r w:rsidRPr="00A40DCC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>) и пунктом 3.5.4 настоящего Регламента.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</w:tabs>
              <w:adjustRightInd w:val="0"/>
              <w:spacing w:before="120" w:after="120"/>
              <w:ind w:left="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3.5.1. Порядок определения технической неготовности </w:t>
            </w:r>
            <w:r w:rsidR="000071CD" w:rsidRPr="00E9538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СОТИАССО в части</w:t>
            </w:r>
            <w:r w:rsidR="00C420ED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420E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 xml:space="preserve">неготовности 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к</w:t>
            </w:r>
            <w:r w:rsidR="000071CD"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ю</w:t>
            </w:r>
            <w:r w:rsidR="000071CD"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ПБР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(ППБР, ДДГ – для второй неценовой зоны) и (или)</w:t>
            </w:r>
            <w:r w:rsidR="00FE4D76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ю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/передач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е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оперативных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уведомлений.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t xml:space="preserve">Техническая неготовность </w:t>
            </w:r>
            <w:r w:rsidR="000071CD" w:rsidRPr="00E9538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СОТИАССО в </w:t>
            </w:r>
            <w:r w:rsidR="000071C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части</w:t>
            </w:r>
            <w:r w:rsidR="00D000BC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C420E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неготовности</w:t>
            </w:r>
            <w:r w:rsidR="00C420ED">
              <w:rPr>
                <w:rFonts w:ascii="Garamond" w:hAnsi="Garamond"/>
                <w:color w:val="000000"/>
                <w:sz w:val="22"/>
                <w:szCs w:val="22"/>
              </w:rPr>
              <w:t xml:space="preserve"> к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ю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ПБР (ППБР, ДДГ – для второй неценовой зоны)</w:t>
            </w:r>
            <w:r w:rsidRPr="00D000BC">
              <w:rPr>
                <w:rFonts w:ascii="Garamond" w:hAnsi="Garamond"/>
                <w:sz w:val="22"/>
                <w:szCs w:val="22"/>
              </w:rPr>
              <w:t xml:space="preserve"> и (или) получени</w:t>
            </w:r>
            <w:r w:rsidR="00C420ED" w:rsidRPr="00D000BC">
              <w:rPr>
                <w:rFonts w:ascii="Garamond" w:hAnsi="Garamond"/>
                <w:sz w:val="22"/>
                <w:szCs w:val="22"/>
              </w:rPr>
              <w:t>ю</w:t>
            </w:r>
            <w:r w:rsidRPr="00D000BC">
              <w:rPr>
                <w:rFonts w:ascii="Garamond" w:hAnsi="Garamond"/>
                <w:sz w:val="22"/>
                <w:szCs w:val="22"/>
              </w:rPr>
              <w:t>/передач</w:t>
            </w:r>
            <w:r w:rsidR="00C420ED" w:rsidRPr="00D000BC">
              <w:rPr>
                <w:rFonts w:ascii="Garamond" w:hAnsi="Garamond"/>
                <w:sz w:val="22"/>
                <w:szCs w:val="22"/>
              </w:rPr>
              <w:t>е</w:t>
            </w:r>
            <w:r w:rsidRPr="00D000BC">
              <w:rPr>
                <w:rFonts w:ascii="Garamond" w:hAnsi="Garamond"/>
                <w:sz w:val="22"/>
                <w:szCs w:val="22"/>
              </w:rPr>
              <w:t xml:space="preserve"> оперативных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уведомлений – ситуация, при которой на объекте электроэнергетики,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в</w:t>
            </w:r>
            <w:r w:rsidR="00C420ED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="00C420E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отношении которого сформирована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данная ГТП,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по техническим причинам не могут формироваться оперативные уведомления и</w:t>
            </w:r>
            <w:r w:rsidRPr="00A40DCC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(или) надлежащим образом приниматься данные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ПБР (ППБР, ДДГ – для второй неценовой зоны)</w:t>
            </w:r>
            <w:r w:rsidRPr="00A40DCC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 xml:space="preserve">результирующая информация о составе, актуальных параметрах и ограничениях режимов работы генерирующего оборудования, </w:t>
            </w:r>
            <w:r w:rsidRPr="00A40DCC">
              <w:rPr>
                <w:rFonts w:ascii="Garamond" w:hAnsi="Garamond"/>
                <w:sz w:val="22"/>
                <w:szCs w:val="22"/>
              </w:rPr>
              <w:t>публикуемая на Шлюзе СО.</w:t>
            </w:r>
          </w:p>
          <w:p w:rsidR="00A40DCC" w:rsidRPr="00A40DCC" w:rsidRDefault="00A40DCC" w:rsidP="00932D7E">
            <w:pPr>
              <w:pStyle w:val="ae"/>
              <w:widowControl w:val="0"/>
              <w:tabs>
                <w:tab w:val="left" w:pos="462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Техническая неготовность </w:t>
            </w:r>
            <w:r w:rsidR="000071CD" w:rsidRPr="00E9538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СОТИАССО в части</w:t>
            </w:r>
            <w:r w:rsidR="00D000B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C420E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неготовности</w:t>
            </w:r>
            <w:r w:rsidR="00C420ED">
              <w:rPr>
                <w:rFonts w:ascii="Garamond" w:hAnsi="Garamond"/>
                <w:color w:val="000000"/>
                <w:sz w:val="22"/>
                <w:szCs w:val="22"/>
              </w:rPr>
              <w:t xml:space="preserve"> к 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получени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ю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ПБР (ППБР, ДДГ – для второй неценовой зоны) и (или) получени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ю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>/передач</w:t>
            </w:r>
            <w:r w:rsidR="00C420ED" w:rsidRPr="00D000BC">
              <w:rPr>
                <w:rFonts w:ascii="Garamond" w:hAnsi="Garamond"/>
                <w:color w:val="000000"/>
                <w:sz w:val="22"/>
                <w:szCs w:val="22"/>
              </w:rPr>
              <w:t>е</w:t>
            </w:r>
            <w:r w:rsidRPr="00D000BC">
              <w:rPr>
                <w:rFonts w:ascii="Garamond" w:hAnsi="Garamond"/>
                <w:color w:val="000000"/>
                <w:sz w:val="22"/>
                <w:szCs w:val="22"/>
              </w:rPr>
              <w:t xml:space="preserve"> оперативных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уведомлений для ГТП участника оптового рынка устанавливается </w:t>
            </w:r>
            <w:r w:rsidR="001E6FF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случае направления участником оптового рынка в С</w:t>
            </w:r>
            <w:r w:rsidR="003C4E63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</w:t>
            </w:r>
            <w:r w:rsidR="001E6FF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соответствующей информации</w:t>
            </w:r>
            <w:r w:rsidR="001E6FF0" w:rsidRPr="00BC2E4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и (или) по результатам осуществления С</w:t>
            </w:r>
            <w:r w:rsidR="00F92B2B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мониторинга выполнения участником технических требований в части обмена технологической информацией с автоматизированной системой СО на основании следующей информации: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>– уведомления участником оптового рынка СО о временной неготовности к получению данных ПБР (ППБР, ДДГ – для второй неценовой зоны) и (или) получению/передаче оперативных уведомлений, в т. ч. для проведения профилактических и наладочных работ путем передачи соответствующей диспетчерской заявки и (или) с использованием диспетчерской связи при условии указания периода неготовности;</w:t>
            </w:r>
          </w:p>
          <w:p w:rsidR="00A40DCC" w:rsidRPr="00A40DCC" w:rsidRDefault="00A40DCC" w:rsidP="00932D7E">
            <w:pPr>
              <w:pStyle w:val="ae"/>
              <w:widowControl w:val="0"/>
              <w:adjustRightInd w:val="0"/>
              <w:spacing w:before="120" w:after="120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– результатов контроля регулярного обмена (факта отправки и времени доставки сообщений) технологическими уведомлениями, порождаемыми клиентской версией </w:t>
            </w:r>
            <w:r w:rsidRPr="00A40DCC">
              <w:rPr>
                <w:rFonts w:ascii="Garamond" w:hAnsi="Garamond"/>
                <w:sz w:val="22"/>
                <w:szCs w:val="22"/>
                <w:lang w:eastAsia="en-US"/>
              </w:rPr>
              <w:t>автоматизированной системы подготовки и передачи уведомлений о составе и параметрах оборудования (консоль сбора данных об изменении системных условий – КИСУ)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 с учетом требований 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 xml:space="preserve">приложения 3 к </w:t>
            </w:r>
            <w:r w:rsidRPr="00A40DCC">
              <w:rPr>
                <w:rFonts w:ascii="Garamond" w:hAnsi="Garamond"/>
                <w:bCs/>
                <w:i/>
                <w:sz w:val="22"/>
                <w:szCs w:val="22"/>
              </w:rPr>
              <w:t>Регламенту допуска к торговой системе оптового рынка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 xml:space="preserve"> (Приложение № 1 к </w:t>
            </w:r>
            <w:r w:rsidRPr="00A40DCC">
              <w:rPr>
                <w:rFonts w:ascii="Garamond" w:hAnsi="Garamond"/>
                <w:bCs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A40DCC">
              <w:rPr>
                <w:rFonts w:ascii="Garamond" w:hAnsi="Garamond"/>
                <w:bCs/>
                <w:sz w:val="22"/>
                <w:szCs w:val="22"/>
              </w:rPr>
              <w:t>)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t xml:space="preserve">. Указанные </w:t>
            </w:r>
            <w:r w:rsidRPr="00A40DCC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уведомления формируются в автоматическом режиме КИСУ, в т. ч. по расписанию;</w:t>
            </w:r>
          </w:p>
          <w:p w:rsidR="00A40DCC" w:rsidRPr="00A40DCC" w:rsidRDefault="00A40DCC" w:rsidP="00932D7E">
            <w:pPr>
              <w:widowControl w:val="0"/>
              <w:spacing w:before="120" w:after="120" w:line="240" w:lineRule="auto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A40DCC">
              <w:rPr>
                <w:rFonts w:ascii="Garamond" w:hAnsi="Garamond"/>
                <w:color w:val="000000"/>
              </w:rPr>
              <w:t>– информации о времени получения подтверждения о доставке (получении) ПБР (ППБР, ДДГ – для второй неценовой зоны) позднее времени начала его действия;</w:t>
            </w:r>
          </w:p>
          <w:p w:rsidR="00A40DCC" w:rsidRPr="00A40DCC" w:rsidRDefault="00A40DCC" w:rsidP="00932D7E">
            <w:pPr>
              <w:widowControl w:val="0"/>
              <w:spacing w:before="120" w:after="120" w:line="240" w:lineRule="auto"/>
              <w:ind w:left="888" w:hanging="180"/>
              <w:jc w:val="both"/>
              <w:textAlignment w:val="baseline"/>
              <w:rPr>
                <w:rFonts w:ascii="Garamond" w:hAnsi="Garamond"/>
                <w:color w:val="000000"/>
              </w:rPr>
            </w:pPr>
            <w:r w:rsidRPr="00A40DCC">
              <w:rPr>
                <w:rFonts w:ascii="Garamond" w:hAnsi="Garamond"/>
                <w:color w:val="000000"/>
              </w:rPr>
              <w:t>– информации о невозможности формирования и передачи в СО оперативного уведомления с помощью КИСУ, установленной на рабочем месте оператора участника оптового рынка (электростанции).</w:t>
            </w:r>
          </w:p>
          <w:p w:rsidR="00F02BE7" w:rsidRPr="001F1394" w:rsidRDefault="00A40DCC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t xml:space="preserve">3.5.2. </w:t>
            </w:r>
            <w:r w:rsidR="00F02BE7" w:rsidRPr="001865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Порядок определения </w:t>
            </w:r>
            <w:r w:rsidR="00186516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технической </w:t>
            </w:r>
            <w:r w:rsidR="00186516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неготовности </w:t>
            </w:r>
            <w:r w:rsidR="00391EF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СОТИАССО</w:t>
            </w:r>
            <w:r w:rsidR="00F92B2B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части неготовности</w:t>
            </w:r>
            <w:r w:rsidR="00391EF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186516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голосовых и технологических каналов связи и средств телемеханики.</w:t>
            </w:r>
          </w:p>
          <w:p w:rsidR="00186516" w:rsidRPr="001F1394" w:rsidRDefault="00186516" w:rsidP="00932D7E">
            <w:pPr>
              <w:pStyle w:val="ae"/>
              <w:widowControl w:val="0"/>
              <w:tabs>
                <w:tab w:val="left" w:pos="462"/>
                <w:tab w:val="left" w:pos="993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Техническая неготовность </w:t>
            </w:r>
            <w:r w:rsidR="000071C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СОТИАССО в </w:t>
            </w:r>
            <w:r w:rsidR="00FE4D76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части неготовности 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голосовых и технологических каналов связи и средств телемеханики 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– </w:t>
            </w:r>
            <w:r w:rsidR="00CC6D1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зафиксированная неисправность оборудования или сбои в работе программного обеспечения каналов связи и средств телемеханики, приведшие к </w:t>
            </w:r>
            <w:r w:rsidR="00F64526" w:rsidRPr="001F1394">
              <w:rPr>
                <w:rFonts w:ascii="Garamond" w:hAnsi="Garamond"/>
                <w:sz w:val="22"/>
                <w:szCs w:val="22"/>
                <w:highlight w:val="yellow"/>
              </w:rPr>
              <w:t>нарушени</w:t>
            </w:r>
            <w:r w:rsidR="00CC6D13" w:rsidRPr="001F1394">
              <w:rPr>
                <w:rFonts w:ascii="Garamond" w:hAnsi="Garamond"/>
                <w:sz w:val="22"/>
                <w:szCs w:val="22"/>
                <w:highlight w:val="yellow"/>
              </w:rPr>
              <w:t>ю</w:t>
            </w:r>
            <w:r w:rsidR="00F6452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B851F5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информационного </w:t>
            </w:r>
            <w:r w:rsidR="00F6452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обмена </w:t>
            </w:r>
            <w:r w:rsidR="000B4B1C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между 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объект</w:t>
            </w:r>
            <w:r w:rsidR="00F64526" w:rsidRPr="001F1394">
              <w:rPr>
                <w:rFonts w:ascii="Garamond" w:hAnsi="Garamond"/>
                <w:sz w:val="22"/>
                <w:szCs w:val="22"/>
                <w:highlight w:val="yellow"/>
              </w:rPr>
              <w:t>ом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электроэнергетики</w:t>
            </w:r>
            <w:r w:rsidR="000B4B1C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3442B3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в отношении которого сформирована </w:t>
            </w:r>
            <w:r w:rsidR="000B4B1C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данная ГТП,</w:t>
            </w:r>
            <w:r w:rsidR="000B4B1C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и диспетчерским центром СО</w:t>
            </w: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:</w:t>
            </w:r>
          </w:p>
          <w:p w:rsidR="00F66C21" w:rsidRPr="001F1394" w:rsidRDefault="00391EFD" w:rsidP="00932D7E">
            <w:pPr>
              <w:pStyle w:val="ae"/>
              <w:widowControl w:val="0"/>
              <w:numPr>
                <w:ilvl w:val="0"/>
                <w:numId w:val="33"/>
              </w:numPr>
              <w:tabs>
                <w:tab w:val="left" w:pos="462"/>
                <w:tab w:val="left" w:pos="717"/>
              </w:tabs>
              <w:adjustRightInd w:val="0"/>
              <w:spacing w:before="120" w:after="120"/>
              <w:ind w:left="717" w:hanging="283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color w:val="000000" w:themeColor="text1"/>
                <w:sz w:val="22"/>
                <w:szCs w:val="22"/>
                <w:highlight w:val="yellow"/>
              </w:rPr>
              <w:t xml:space="preserve">неисправность </w:t>
            </w:r>
            <w:r w:rsidR="0018651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канала (каналов) связи с диспетчерским центром СО, </w:t>
            </w:r>
            <w:r w:rsidR="00343EF3" w:rsidRPr="001F1394">
              <w:rPr>
                <w:rFonts w:ascii="Garamond" w:hAnsi="Garamond"/>
                <w:sz w:val="22"/>
                <w:szCs w:val="22"/>
                <w:highlight w:val="yellow"/>
              </w:rPr>
              <w:t>в результате которой в</w:t>
            </w:r>
            <w:r w:rsidR="0018651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работ</w:t>
            </w:r>
            <w:r w:rsidR="00343EF3" w:rsidRPr="001F1394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="0018651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343EF3" w:rsidRPr="001F1394">
              <w:rPr>
                <w:rFonts w:ascii="Garamond" w:hAnsi="Garamond"/>
                <w:sz w:val="22"/>
                <w:szCs w:val="22"/>
                <w:highlight w:val="yellow"/>
              </w:rPr>
              <w:t>остаются</w:t>
            </w:r>
            <w:r w:rsidR="00186516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менее двух каналов связи с диспетчерским центром СО;</w:t>
            </w:r>
          </w:p>
          <w:p w:rsidR="00186516" w:rsidRPr="001F1394" w:rsidRDefault="00A97624" w:rsidP="00932D7E">
            <w:pPr>
              <w:pStyle w:val="ae"/>
              <w:widowControl w:val="0"/>
              <w:numPr>
                <w:ilvl w:val="0"/>
                <w:numId w:val="33"/>
              </w:numPr>
              <w:tabs>
                <w:tab w:val="left" w:pos="462"/>
                <w:tab w:val="left" w:pos="717"/>
              </w:tabs>
              <w:adjustRightInd w:val="0"/>
              <w:spacing w:before="120" w:after="120"/>
              <w:ind w:left="717" w:hanging="283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полное </w:t>
            </w:r>
            <w:r w:rsidR="00391EFD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отсутствие </w:t>
            </w:r>
            <w:r w:rsidR="00186516" w:rsidRPr="001F1394">
              <w:rPr>
                <w:rFonts w:ascii="Garamond" w:hAnsi="Garamond"/>
                <w:sz w:val="22"/>
                <w:szCs w:val="22"/>
                <w:highlight w:val="yellow"/>
              </w:rPr>
              <w:t>диспетчерской связи с объектом управления;</w:t>
            </w:r>
          </w:p>
          <w:p w:rsidR="00186516" w:rsidRPr="00186516" w:rsidRDefault="00186516" w:rsidP="00932D7E">
            <w:pPr>
              <w:pStyle w:val="ae"/>
              <w:widowControl w:val="0"/>
              <w:numPr>
                <w:ilvl w:val="0"/>
                <w:numId w:val="33"/>
              </w:numPr>
              <w:tabs>
                <w:tab w:val="left" w:pos="462"/>
                <w:tab w:val="left" w:pos="717"/>
              </w:tabs>
              <w:adjustRightInd w:val="0"/>
              <w:spacing w:before="120" w:after="120"/>
              <w:ind w:left="717" w:hanging="283"/>
              <w:jc w:val="both"/>
              <w:textAlignment w:val="baseline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прекращение </w:t>
            </w:r>
            <w:r w:rsidRPr="00186516">
              <w:rPr>
                <w:rFonts w:ascii="Garamond" w:hAnsi="Garamond"/>
                <w:sz w:val="22"/>
                <w:szCs w:val="22"/>
                <w:highlight w:val="yellow"/>
              </w:rPr>
              <w:t>получения телеметрической информации</w:t>
            </w:r>
            <w:r w:rsidR="001E6FF0">
              <w:rPr>
                <w:rFonts w:ascii="Garamond" w:hAnsi="Garamond"/>
                <w:sz w:val="22"/>
                <w:szCs w:val="22"/>
                <w:highlight w:val="yellow"/>
              </w:rPr>
              <w:t>, приводящ</w:t>
            </w:r>
            <w:r w:rsidR="000071CD">
              <w:rPr>
                <w:rFonts w:ascii="Garamond" w:hAnsi="Garamond"/>
                <w:sz w:val="22"/>
                <w:szCs w:val="22"/>
                <w:highlight w:val="yellow"/>
              </w:rPr>
              <w:t>ее</w:t>
            </w:r>
            <w:r w:rsidR="001E6FF0" w:rsidRPr="001E6FF0">
              <w:rPr>
                <w:rFonts w:ascii="Garamond" w:hAnsi="Garamond"/>
                <w:sz w:val="22"/>
                <w:szCs w:val="22"/>
                <w:highlight w:val="yellow"/>
              </w:rPr>
              <w:t xml:space="preserve"> к </w:t>
            </w:r>
            <w:r w:rsidR="00317057">
              <w:rPr>
                <w:rFonts w:ascii="Garamond" w:hAnsi="Garamond"/>
                <w:sz w:val="22"/>
                <w:szCs w:val="22"/>
                <w:highlight w:val="yellow"/>
              </w:rPr>
              <w:t>потере</w:t>
            </w:r>
            <w:r w:rsidR="001E6FF0" w:rsidRPr="001E6FF0">
              <w:rPr>
                <w:rFonts w:ascii="Garamond" w:hAnsi="Garamond"/>
                <w:sz w:val="22"/>
                <w:szCs w:val="22"/>
                <w:highlight w:val="yellow"/>
              </w:rPr>
              <w:t xml:space="preserve"> наблюдаемости режима работы </w:t>
            </w:r>
            <w:proofErr w:type="spellStart"/>
            <w:r w:rsidR="001E6FF0" w:rsidRPr="001E6FF0">
              <w:rPr>
                <w:rFonts w:ascii="Garamond" w:hAnsi="Garamond"/>
                <w:sz w:val="22"/>
                <w:szCs w:val="22"/>
                <w:highlight w:val="yellow"/>
              </w:rPr>
              <w:t>энергообъекта</w:t>
            </w:r>
            <w:proofErr w:type="spellEnd"/>
            <w:r w:rsidR="009E4EB4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9A6DDE">
              <w:rPr>
                <w:rFonts w:ascii="Garamond" w:hAnsi="Garamond"/>
                <w:sz w:val="22"/>
                <w:szCs w:val="22"/>
                <w:highlight w:val="yellow"/>
              </w:rPr>
              <w:t xml:space="preserve"> – отсутствие возможности формирования баланса </w:t>
            </w:r>
            <w:r w:rsidR="00186207">
              <w:rPr>
                <w:rFonts w:ascii="Garamond" w:hAnsi="Garamond"/>
                <w:sz w:val="22"/>
                <w:szCs w:val="22"/>
                <w:highlight w:val="yellow"/>
              </w:rPr>
              <w:t xml:space="preserve">по </w:t>
            </w:r>
            <w:r w:rsidR="009A6DDE">
              <w:rPr>
                <w:rFonts w:ascii="Garamond" w:hAnsi="Garamond"/>
                <w:sz w:val="22"/>
                <w:szCs w:val="22"/>
                <w:highlight w:val="yellow"/>
              </w:rPr>
              <w:t>активной и реактивной мощности по каждой ГТП генерации</w:t>
            </w:r>
            <w:r w:rsidR="00A311B5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9A6DDE">
              <w:rPr>
                <w:rFonts w:ascii="Garamond" w:hAnsi="Garamond"/>
                <w:sz w:val="22"/>
                <w:szCs w:val="22"/>
                <w:highlight w:val="yellow"/>
              </w:rPr>
              <w:t xml:space="preserve">на основании параметров, указанных в </w:t>
            </w:r>
            <w:r w:rsidR="009A6DDE" w:rsidRPr="009A6DDE">
              <w:rPr>
                <w:rFonts w:ascii="Garamond" w:hAnsi="Garamond"/>
                <w:sz w:val="22"/>
                <w:szCs w:val="22"/>
                <w:highlight w:val="yellow"/>
              </w:rPr>
              <w:t>формуляре согласования приема/передачи</w:t>
            </w:r>
            <w:r w:rsidR="00441BEF">
              <w:rPr>
                <w:rFonts w:ascii="Garamond" w:hAnsi="Garamond"/>
                <w:sz w:val="22"/>
                <w:szCs w:val="22"/>
                <w:highlight w:val="yellow"/>
              </w:rPr>
              <w:t xml:space="preserve"> данных</w:t>
            </w:r>
            <w:r w:rsidR="009A6DDE" w:rsidRPr="009A6DDE">
              <w:rPr>
                <w:rFonts w:ascii="Garamond" w:hAnsi="Garamond"/>
                <w:sz w:val="22"/>
                <w:szCs w:val="22"/>
                <w:highlight w:val="yellow"/>
              </w:rPr>
              <w:t xml:space="preserve">, </w:t>
            </w:r>
            <w:r w:rsidR="00796132">
              <w:rPr>
                <w:rFonts w:ascii="Garamond" w:hAnsi="Garamond"/>
                <w:sz w:val="22"/>
                <w:szCs w:val="22"/>
                <w:highlight w:val="yellow"/>
              </w:rPr>
              <w:t>оформленном</w:t>
            </w:r>
            <w:r w:rsidR="00603B78">
              <w:rPr>
                <w:rFonts w:ascii="Garamond" w:hAnsi="Garamond"/>
                <w:sz w:val="22"/>
                <w:szCs w:val="22"/>
                <w:highlight w:val="yellow"/>
              </w:rPr>
              <w:t xml:space="preserve"> участником оптового рынка </w:t>
            </w:r>
            <w:r w:rsidR="00441BEF">
              <w:rPr>
                <w:rFonts w:ascii="Garamond" w:hAnsi="Garamond"/>
                <w:sz w:val="22"/>
                <w:szCs w:val="22"/>
                <w:highlight w:val="yellow"/>
              </w:rPr>
              <w:t xml:space="preserve">и согласованным с СО </w:t>
            </w:r>
            <w:r w:rsidR="00796132">
              <w:rPr>
                <w:rFonts w:ascii="Garamond" w:hAnsi="Garamond"/>
                <w:sz w:val="22"/>
                <w:szCs w:val="22"/>
                <w:highlight w:val="yellow"/>
              </w:rPr>
              <w:t xml:space="preserve">в соответствии с </w:t>
            </w:r>
            <w:r w:rsidR="00796132" w:rsidRPr="001F1394">
              <w:rPr>
                <w:rFonts w:ascii="Garamond" w:hAnsi="Garamond"/>
                <w:sz w:val="22"/>
                <w:szCs w:val="22"/>
                <w:highlight w:val="yellow"/>
              </w:rPr>
              <w:t>приложени</w:t>
            </w:r>
            <w:r w:rsidR="00796132">
              <w:rPr>
                <w:rFonts w:ascii="Garamond" w:hAnsi="Garamond"/>
                <w:sz w:val="22"/>
                <w:szCs w:val="22"/>
                <w:highlight w:val="yellow"/>
              </w:rPr>
              <w:t>ем</w:t>
            </w:r>
            <w:r w:rsidR="00796132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3 к </w:t>
            </w:r>
            <w:r w:rsidR="00796132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="00796132" w:rsidRPr="001F1394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1 к </w:t>
            </w:r>
            <w:r w:rsidR="00796132" w:rsidRPr="001F1394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796132" w:rsidRPr="001F1394">
              <w:rPr>
                <w:rFonts w:ascii="Garamond" w:hAnsi="Garamond"/>
                <w:sz w:val="22"/>
                <w:szCs w:val="22"/>
                <w:highlight w:val="yellow"/>
              </w:rPr>
              <w:t>)</w:t>
            </w:r>
            <w:r w:rsidR="001E6FF0" w:rsidRPr="001E6FF0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D64DDE" w:rsidRPr="00391EFD" w:rsidRDefault="00391EFD" w:rsidP="00932D7E">
            <w:pPr>
              <w:pStyle w:val="ae"/>
              <w:widowControl w:val="0"/>
              <w:numPr>
                <w:ilvl w:val="0"/>
                <w:numId w:val="33"/>
              </w:numPr>
              <w:tabs>
                <w:tab w:val="left" w:pos="462"/>
                <w:tab w:val="left" w:pos="717"/>
              </w:tabs>
              <w:adjustRightInd w:val="0"/>
              <w:spacing w:before="120" w:after="120"/>
              <w:ind w:left="717" w:hanging="283"/>
              <w:jc w:val="both"/>
              <w:textAlignment w:val="baseline"/>
              <w:rPr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прекращение</w:t>
            </w:r>
            <w:r w:rsidR="00186516" w:rsidRPr="00186516">
              <w:rPr>
                <w:rFonts w:ascii="Garamond" w:hAnsi="Garamond"/>
                <w:sz w:val="22"/>
                <w:szCs w:val="22"/>
                <w:highlight w:val="yellow"/>
              </w:rPr>
              <w:t xml:space="preserve"> информационного обмена с ЦС АРЧМ, ЦКС АРЧМ ЕЭС, ЦСПА – для ГЭС, которые в соответствии с п.</w:t>
            </w:r>
            <w:r w:rsidR="009E4EB4">
              <w:rPr>
                <w:rFonts w:ascii="Garamond" w:hAnsi="Garamond"/>
                <w:sz w:val="22"/>
                <w:szCs w:val="22"/>
                <w:highlight w:val="yellow"/>
              </w:rPr>
              <w:t xml:space="preserve"> 3.3</w:t>
            </w:r>
            <w:r w:rsidR="00186516" w:rsidRPr="00186516">
              <w:rPr>
                <w:rFonts w:ascii="Garamond" w:hAnsi="Garamond"/>
                <w:sz w:val="22"/>
                <w:szCs w:val="22"/>
                <w:highlight w:val="yellow"/>
              </w:rPr>
              <w:t xml:space="preserve"> настоящего Регламента должны иметь возможность участвовать в автоматическом вторичном регулировании частоты электрического тока и перетоков активной электрической мощности.</w:t>
            </w:r>
          </w:p>
          <w:p w:rsidR="00BC2E47" w:rsidRDefault="00186516" w:rsidP="00932D7E">
            <w:pPr>
              <w:pStyle w:val="ae"/>
              <w:widowControl w:val="0"/>
              <w:tabs>
                <w:tab w:val="left" w:pos="462"/>
              </w:tabs>
              <w:adjustRightInd w:val="0"/>
              <w:spacing w:before="120" w:after="120"/>
              <w:ind w:left="0" w:firstLine="462"/>
              <w:jc w:val="both"/>
              <w:textAlignment w:val="baseline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C2E4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Техническая неготовность </w:t>
            </w:r>
            <w:r w:rsidR="00391EFD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СОТИАССО </w:t>
            </w:r>
            <w:r w:rsidR="00391EF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</w:t>
            </w:r>
            <w:r w:rsidR="00FE4D76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части неготовности</w:t>
            </w:r>
            <w:r w:rsidR="00391EFD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голосовых и технологических каналов связи и средств телемеханики устанавливается </w:t>
            </w:r>
            <w:r w:rsidR="001E6FF0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случае направления участником оптового рынка в С</w:t>
            </w:r>
            <w:r w:rsidR="003C4E6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О</w:t>
            </w:r>
            <w:r w:rsidR="001E6FF0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соответствующей информации</w:t>
            </w:r>
            <w:r w:rsidR="00BC2E47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 (или) </w:t>
            </w:r>
            <w:r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по результатам осуществления </w:t>
            </w:r>
            <w:r w:rsidR="003442B3" w:rsidRPr="001F139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СО </w:t>
            </w:r>
            <w:r w:rsidRPr="00BC2E4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мониторинга выполнения участником технических требований в части обмена технологической информацией с автоматизированной системой СО</w:t>
            </w:r>
            <w:r w:rsidR="00BC2E47" w:rsidRPr="00BC2E4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указанных в </w:t>
            </w:r>
            <w:r w:rsidR="00BC2E47" w:rsidRPr="00BC2E4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приложении 3 к </w:t>
            </w:r>
            <w:r w:rsidR="00BC2E47" w:rsidRPr="00BC2E4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Регламенту допуска к торговой системе оптового рынка</w:t>
            </w:r>
            <w:r w:rsidR="00BC2E47" w:rsidRPr="00BC2E47">
              <w:rPr>
                <w:rFonts w:ascii="Garamond" w:hAnsi="Garamond"/>
                <w:bCs/>
                <w:sz w:val="22"/>
                <w:szCs w:val="22"/>
                <w:highlight w:val="yellow"/>
              </w:rPr>
              <w:t xml:space="preserve"> (Приложение № 1 к </w:t>
            </w:r>
            <w:r w:rsidR="00BC2E47" w:rsidRPr="00BC2E47">
              <w:rPr>
                <w:rFonts w:ascii="Garamond" w:hAnsi="Garamond"/>
                <w:bCs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BC2E47" w:rsidRPr="00BC2E47">
              <w:rPr>
                <w:rFonts w:ascii="Garamond" w:hAnsi="Garamond"/>
                <w:bCs/>
                <w:sz w:val="22"/>
                <w:szCs w:val="22"/>
                <w:highlight w:val="yellow"/>
              </w:rPr>
              <w:t>)</w:t>
            </w:r>
            <w:r w:rsidR="00BC2E47" w:rsidRPr="00BC2E4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</w:p>
          <w:p w:rsidR="00BF2B55" w:rsidRPr="00BF2B55" w:rsidRDefault="00BF2B55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BF2B55">
              <w:rPr>
                <w:rFonts w:ascii="Garamond" w:hAnsi="Garamond"/>
                <w:sz w:val="22"/>
                <w:szCs w:val="22"/>
                <w:highlight w:val="yellow"/>
              </w:rPr>
              <w:t>В случае одновременного возникновения нескольких нарушений обмена, имеющих общую причину, указанные нарушения обмена учитываются как одно нарушение, длительность которого должна определяться как интервал времени с момента возникновения первого нарушения до момента устранения последнего нарушения.</w:t>
            </w:r>
          </w:p>
          <w:p w:rsidR="00A40DCC" w:rsidRPr="00266F76" w:rsidRDefault="00A40DCC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color w:val="000000"/>
                <w:kern w:val="28"/>
              </w:rPr>
            </w:pPr>
            <w:r w:rsidRPr="00A40DCC">
              <w:rPr>
                <w:rFonts w:ascii="Garamond" w:hAnsi="Garamond"/>
                <w:sz w:val="22"/>
                <w:szCs w:val="22"/>
              </w:rPr>
              <w:t>Нарушение обмена технологической информацией, которое не было устранено до завершения отчетного месяца, является пограничным и рассматривается как два нарушения. Длительность одного из них определяется как интервал времени с момента возникновения пограничного нарушения до конца отчетного месяца и учитывается в отчетном месяце, а длительность другого – как время с начала нового отчетного месяца до момента устранения пограничного нарушения и учитывается в новом отчетном месяце.</w:t>
            </w:r>
          </w:p>
          <w:p w:rsidR="00266F76" w:rsidRPr="001F1394" w:rsidRDefault="00030CAA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color w:val="000000"/>
                <w:kern w:val="28"/>
                <w:highlight w:val="yellow"/>
              </w:rPr>
            </w:pPr>
            <w:r w:rsidRPr="001F1394">
              <w:rPr>
                <w:rFonts w:ascii="Garamond" w:hAnsi="Garamond"/>
                <w:sz w:val="22"/>
                <w:szCs w:val="22"/>
                <w:highlight w:val="yellow"/>
              </w:rPr>
              <w:t>Длительность нарушения обмена технологической информацией не учитывается в периоды неготовности средств диспетчерского и технологического управления (СДТУ) на стороне СО.</w:t>
            </w:r>
          </w:p>
          <w:p w:rsidR="00E95385" w:rsidRPr="001A299D" w:rsidRDefault="00E95385" w:rsidP="00932D7E">
            <w:pPr>
              <w:pStyle w:val="ae"/>
              <w:widowControl w:val="0"/>
              <w:numPr>
                <w:ilvl w:val="0"/>
                <w:numId w:val="31"/>
              </w:numPr>
              <w:tabs>
                <w:tab w:val="num" w:pos="442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color w:val="000000"/>
                <w:kern w:val="28"/>
              </w:rPr>
            </w:pPr>
            <w:r>
              <w:rPr>
                <w:rFonts w:ascii="Garamond" w:hAnsi="Garamond"/>
                <w:color w:val="000000"/>
                <w:kern w:val="28"/>
              </w:rPr>
              <w:t>…</w:t>
            </w:r>
          </w:p>
        </w:tc>
      </w:tr>
    </w:tbl>
    <w:p w:rsidR="000A525A" w:rsidRPr="000A525A" w:rsidRDefault="000A525A" w:rsidP="000A525A">
      <w:pPr>
        <w:rPr>
          <w:rFonts w:ascii="Garamond" w:hAnsi="Garamond"/>
        </w:rPr>
      </w:pPr>
    </w:p>
    <w:sectPr w:rsidR="000A525A" w:rsidRPr="000A525A" w:rsidSect="000A525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567" w:bottom="567" w:left="1134" w:header="397" w:footer="85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0CFF8" w16cex:dateUtc="2021-02-24T10:1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22C" w:rsidRDefault="0048322C" w:rsidP="00A305ED">
      <w:pPr>
        <w:spacing w:after="0" w:line="240" w:lineRule="auto"/>
      </w:pPr>
      <w:r>
        <w:separator/>
      </w:r>
    </w:p>
  </w:endnote>
  <w:endnote w:type="continuationSeparator" w:id="0">
    <w:p w:rsidR="0048322C" w:rsidRDefault="0048322C" w:rsidP="00A3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2F8" w:rsidRPr="00B6411D" w:rsidRDefault="009312F8" w:rsidP="009312F8">
    <w:pPr>
      <w:pStyle w:val="af9"/>
      <w:spacing w:after="0" w:line="240" w:lineRule="auto"/>
      <w:jc w:val="both"/>
      <w:rPr>
        <w:rFonts w:ascii="Times New Roman" w:hAnsi="Times New Roman"/>
        <w:sz w:val="28"/>
        <w:szCs w:val="28"/>
      </w:rPr>
    </w:pPr>
    <w:bookmarkStart w:id="2" w:name="_Hlk3375974"/>
    <w:bookmarkStart w:id="3" w:name="_Hlk74653814"/>
  </w:p>
  <w:bookmarkEnd w:id="2"/>
  <w:bookmarkEnd w:id="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2F8" w:rsidRPr="00B6411D" w:rsidRDefault="009312F8" w:rsidP="009312F8">
    <w:pPr>
      <w:pStyle w:val="af9"/>
      <w:spacing w:after="0" w:line="240" w:lineRule="auto"/>
      <w:jc w:val="both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22C" w:rsidRDefault="0048322C" w:rsidP="00A305ED">
      <w:pPr>
        <w:spacing w:after="0" w:line="240" w:lineRule="auto"/>
      </w:pPr>
      <w:r>
        <w:separator/>
      </w:r>
    </w:p>
  </w:footnote>
  <w:footnote w:type="continuationSeparator" w:id="0">
    <w:p w:rsidR="0048322C" w:rsidRDefault="0048322C" w:rsidP="00A3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5570294"/>
      <w:docPartObj>
        <w:docPartGallery w:val="Page Numbers (Top of Page)"/>
        <w:docPartUnique/>
      </w:docPartObj>
    </w:sdtPr>
    <w:sdtEndPr/>
    <w:sdtContent>
      <w:p w:rsidR="0081396B" w:rsidRDefault="0081396B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A01" w:rsidRPr="00863A01">
          <w:rPr>
            <w:noProof/>
            <w:lang w:val="ru-RU"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96B" w:rsidRDefault="0081396B">
    <w:pPr>
      <w:pStyle w:val="af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320C"/>
    <w:multiLevelType w:val="hybridMultilevel"/>
    <w:tmpl w:val="90046B8C"/>
    <w:lvl w:ilvl="0" w:tplc="377019A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 w15:restartNumberingAfterBreak="0">
    <w:nsid w:val="039D5326"/>
    <w:multiLevelType w:val="hybridMultilevel"/>
    <w:tmpl w:val="633EC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F38A3"/>
    <w:multiLevelType w:val="hybridMultilevel"/>
    <w:tmpl w:val="0B40DFD0"/>
    <w:lvl w:ilvl="0" w:tplc="FCE0C85C">
      <w:start w:val="3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250349"/>
    <w:multiLevelType w:val="multilevel"/>
    <w:tmpl w:val="37F04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37F2B6D"/>
    <w:multiLevelType w:val="multilevel"/>
    <w:tmpl w:val="620CEAF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3F13FEF"/>
    <w:multiLevelType w:val="hybridMultilevel"/>
    <w:tmpl w:val="9BE89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974CC"/>
    <w:multiLevelType w:val="hybridMultilevel"/>
    <w:tmpl w:val="31B2E0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2B00D6"/>
    <w:multiLevelType w:val="hybridMultilevel"/>
    <w:tmpl w:val="A6186BD4"/>
    <w:lvl w:ilvl="0" w:tplc="ADFE99D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1B0C46D8"/>
    <w:multiLevelType w:val="hybridMultilevel"/>
    <w:tmpl w:val="75F6E6A6"/>
    <w:lvl w:ilvl="0" w:tplc="2DDCC4B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C5E6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4A91A4A"/>
    <w:multiLevelType w:val="hybridMultilevel"/>
    <w:tmpl w:val="58E84900"/>
    <w:lvl w:ilvl="0" w:tplc="FFFFFFFF">
      <w:start w:val="4"/>
      <w:numFmt w:val="lowerLetter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F9257E"/>
    <w:multiLevelType w:val="hybridMultilevel"/>
    <w:tmpl w:val="1026C96C"/>
    <w:lvl w:ilvl="0" w:tplc="FFFFFFFF">
      <w:numFmt w:val="bullet"/>
      <w:lvlText w:val="–"/>
      <w:lvlJc w:val="left"/>
      <w:pPr>
        <w:ind w:left="1571" w:hanging="360"/>
      </w:pPr>
      <w:rPr>
        <w:rFonts w:ascii="Garamond" w:eastAsia="Times New Roman" w:hAnsi="Garamond" w:cs="Courier New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726197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69718B"/>
    <w:multiLevelType w:val="hybridMultilevel"/>
    <w:tmpl w:val="ED4E4878"/>
    <w:lvl w:ilvl="0" w:tplc="7D42C3D2">
      <w:start w:val="3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E04190"/>
    <w:multiLevelType w:val="hybridMultilevel"/>
    <w:tmpl w:val="5418A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334BA6"/>
    <w:multiLevelType w:val="hybridMultilevel"/>
    <w:tmpl w:val="EA2AEB5E"/>
    <w:lvl w:ilvl="0" w:tplc="ADFE99DA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6" w15:restartNumberingAfterBreak="0">
    <w:nsid w:val="47ED09E1"/>
    <w:multiLevelType w:val="hybridMultilevel"/>
    <w:tmpl w:val="773C9E26"/>
    <w:lvl w:ilvl="0" w:tplc="4BF09996">
      <w:start w:val="1"/>
      <w:numFmt w:val="bullet"/>
      <w:lvlText w:val="−"/>
      <w:lvlJc w:val="left"/>
      <w:pPr>
        <w:ind w:left="1485" w:hanging="360"/>
      </w:pPr>
      <w:rPr>
        <w:rFonts w:ascii="Times New Roman" w:eastAsia="Times New Roman" w:hAnsi="Times New Roman" w:hint="default"/>
      </w:rPr>
    </w:lvl>
    <w:lvl w:ilvl="1" w:tplc="4BF09996">
      <w:start w:val="1"/>
      <w:numFmt w:val="bullet"/>
      <w:lvlText w:val="−"/>
      <w:lvlJc w:val="left"/>
      <w:pPr>
        <w:ind w:left="2205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463E8D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92EAA"/>
    <w:multiLevelType w:val="multilevel"/>
    <w:tmpl w:val="10F03E2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EEA3DBD"/>
    <w:multiLevelType w:val="multilevel"/>
    <w:tmpl w:val="FE7A1E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06D1BF5"/>
    <w:multiLevelType w:val="hybridMultilevel"/>
    <w:tmpl w:val="4614FE0C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C81E3D"/>
    <w:multiLevelType w:val="multilevel"/>
    <w:tmpl w:val="3834B6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z w:val="22"/>
        <w:szCs w:val="22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6E54E49"/>
    <w:multiLevelType w:val="hybridMultilevel"/>
    <w:tmpl w:val="FC1C5C24"/>
    <w:lvl w:ilvl="0" w:tplc="68E809E6">
      <w:start w:val="1"/>
      <w:numFmt w:val="russianLower"/>
      <w:lvlText w:val="%1)"/>
      <w:lvlJc w:val="left"/>
      <w:pPr>
        <w:ind w:left="128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89B7926"/>
    <w:multiLevelType w:val="multilevel"/>
    <w:tmpl w:val="9738E7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4" w15:restartNumberingAfterBreak="0">
    <w:nsid w:val="5A6F23A9"/>
    <w:multiLevelType w:val="multilevel"/>
    <w:tmpl w:val="1BEA27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AA95F94"/>
    <w:multiLevelType w:val="hybridMultilevel"/>
    <w:tmpl w:val="D9B6AE6E"/>
    <w:lvl w:ilvl="0" w:tplc="D03C4C5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1D0EEE"/>
    <w:multiLevelType w:val="hybridMultilevel"/>
    <w:tmpl w:val="6FB273F4"/>
    <w:lvl w:ilvl="0" w:tplc="F70E758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D751190"/>
    <w:multiLevelType w:val="hybridMultilevel"/>
    <w:tmpl w:val="52B0864A"/>
    <w:lvl w:ilvl="0" w:tplc="2EC0E97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00D2CD3"/>
    <w:multiLevelType w:val="multilevel"/>
    <w:tmpl w:val="67D60A8E"/>
    <w:lvl w:ilvl="0">
      <w:start w:val="3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783"/>
        </w:tabs>
        <w:ind w:left="783" w:hanging="357"/>
      </w:pPr>
      <w:rPr>
        <w:rFonts w:cs="Times New Roman" w:hint="default"/>
      </w:rPr>
    </w:lvl>
    <w:lvl w:ilvl="2">
      <w:start w:val="5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3">
      <w:start w:val="1"/>
      <w:numFmt w:val="decimal"/>
      <w:lvlText w:val="%2.%3.%4."/>
      <w:lvlJc w:val="left"/>
      <w:pPr>
        <w:tabs>
          <w:tab w:val="num" w:pos="1560"/>
        </w:tabs>
        <w:ind w:left="1560" w:hanging="567"/>
      </w:pPr>
      <w:rPr>
        <w:rFonts w:cs="Times New Roman" w:hint="default"/>
        <w:b/>
        <w:i w:val="0"/>
      </w:rPr>
    </w:lvl>
    <w:lvl w:ilvl="4">
      <w:start w:val="1"/>
      <w:numFmt w:val="decimal"/>
      <w:lvlText w:val="%5.1.1.1."/>
      <w:lvlJc w:val="left"/>
      <w:pPr>
        <w:tabs>
          <w:tab w:val="num" w:pos="1134"/>
        </w:tabs>
        <w:ind w:left="1134" w:hanging="566"/>
      </w:pPr>
      <w:rPr>
        <w:rFonts w:ascii="Garamond" w:hAnsi="Garamond"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9" w15:restartNumberingAfterBreak="0">
    <w:nsid w:val="68A312DE"/>
    <w:multiLevelType w:val="hybridMultilevel"/>
    <w:tmpl w:val="E79E29A0"/>
    <w:lvl w:ilvl="0" w:tplc="4BF09996">
      <w:start w:val="1"/>
      <w:numFmt w:val="bullet"/>
      <w:lvlText w:val="−"/>
      <w:lvlJc w:val="left"/>
      <w:pPr>
        <w:ind w:left="1485" w:hanging="360"/>
      </w:pPr>
      <w:rPr>
        <w:rFonts w:ascii="Times New Roman" w:eastAsia="Times New Roman" w:hAnsi="Times New Roman" w:hint="default"/>
      </w:rPr>
    </w:lvl>
    <w:lvl w:ilvl="1" w:tplc="4BF09996">
      <w:start w:val="1"/>
      <w:numFmt w:val="bullet"/>
      <w:lvlText w:val="−"/>
      <w:lvlJc w:val="left"/>
      <w:pPr>
        <w:ind w:left="2205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0BF2491"/>
    <w:multiLevelType w:val="multilevel"/>
    <w:tmpl w:val="77EAD8F0"/>
    <w:lvl w:ilvl="0">
      <w:start w:val="1"/>
      <w:numFmt w:val="decimal"/>
      <w:lvlText w:val="§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1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77956992"/>
    <w:multiLevelType w:val="hybridMultilevel"/>
    <w:tmpl w:val="BCE2A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9A55B1"/>
    <w:multiLevelType w:val="hybridMultilevel"/>
    <w:tmpl w:val="9AD0A8BA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A242DB"/>
    <w:multiLevelType w:val="multilevel"/>
    <w:tmpl w:val="10F03E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C3C6529"/>
    <w:multiLevelType w:val="hybridMultilevel"/>
    <w:tmpl w:val="225A29A8"/>
    <w:lvl w:ilvl="0" w:tplc="526435B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1"/>
  </w:num>
  <w:num w:numId="4">
    <w:abstractNumId w:val="4"/>
  </w:num>
  <w:num w:numId="5">
    <w:abstractNumId w:val="23"/>
  </w:num>
  <w:num w:numId="6">
    <w:abstractNumId w:val="33"/>
  </w:num>
  <w:num w:numId="7">
    <w:abstractNumId w:val="18"/>
  </w:num>
  <w:num w:numId="8">
    <w:abstractNumId w:val="24"/>
  </w:num>
  <w:num w:numId="9">
    <w:abstractNumId w:val="6"/>
  </w:num>
  <w:num w:numId="10">
    <w:abstractNumId w:val="14"/>
  </w:num>
  <w:num w:numId="11">
    <w:abstractNumId w:val="11"/>
  </w:num>
  <w:num w:numId="12">
    <w:abstractNumId w:val="32"/>
  </w:num>
  <w:num w:numId="13">
    <w:abstractNumId w:val="8"/>
  </w:num>
  <w:num w:numId="14">
    <w:abstractNumId w:val="21"/>
  </w:num>
  <w:num w:numId="15">
    <w:abstractNumId w:val="19"/>
  </w:num>
  <w:num w:numId="16">
    <w:abstractNumId w:val="34"/>
  </w:num>
  <w:num w:numId="17">
    <w:abstractNumId w:val="31"/>
  </w:num>
  <w:num w:numId="18">
    <w:abstractNumId w:val="12"/>
  </w:num>
  <w:num w:numId="19">
    <w:abstractNumId w:val="17"/>
  </w:num>
  <w:num w:numId="20">
    <w:abstractNumId w:val="20"/>
  </w:num>
  <w:num w:numId="21">
    <w:abstractNumId w:val="26"/>
  </w:num>
  <w:num w:numId="22">
    <w:abstractNumId w:val="25"/>
  </w:num>
  <w:num w:numId="23">
    <w:abstractNumId w:val="13"/>
  </w:num>
  <w:num w:numId="24">
    <w:abstractNumId w:val="22"/>
  </w:num>
  <w:num w:numId="25">
    <w:abstractNumId w:val="27"/>
  </w:num>
  <w:num w:numId="26">
    <w:abstractNumId w:val="2"/>
  </w:num>
  <w:num w:numId="27">
    <w:abstractNumId w:val="3"/>
  </w:num>
  <w:num w:numId="28">
    <w:abstractNumId w:val="9"/>
  </w:num>
  <w:num w:numId="29">
    <w:abstractNumId w:val="16"/>
  </w:num>
  <w:num w:numId="30">
    <w:abstractNumId w:val="29"/>
  </w:num>
  <w:num w:numId="31">
    <w:abstractNumId w:val="28"/>
  </w:num>
  <w:num w:numId="32">
    <w:abstractNumId w:val="7"/>
  </w:num>
  <w:num w:numId="33">
    <w:abstractNumId w:val="15"/>
  </w:num>
  <w:num w:numId="34">
    <w:abstractNumId w:val="0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12"/>
    <w:rsid w:val="000071CD"/>
    <w:rsid w:val="00014732"/>
    <w:rsid w:val="00020810"/>
    <w:rsid w:val="0002204C"/>
    <w:rsid w:val="00022320"/>
    <w:rsid w:val="00023947"/>
    <w:rsid w:val="0002677E"/>
    <w:rsid w:val="00030CAA"/>
    <w:rsid w:val="00031182"/>
    <w:rsid w:val="0003269E"/>
    <w:rsid w:val="000362FE"/>
    <w:rsid w:val="00040130"/>
    <w:rsid w:val="000443DB"/>
    <w:rsid w:val="0005148D"/>
    <w:rsid w:val="000551BE"/>
    <w:rsid w:val="0006449C"/>
    <w:rsid w:val="0006470A"/>
    <w:rsid w:val="00066355"/>
    <w:rsid w:val="00075480"/>
    <w:rsid w:val="00075CEA"/>
    <w:rsid w:val="00080504"/>
    <w:rsid w:val="00082C9D"/>
    <w:rsid w:val="000900DB"/>
    <w:rsid w:val="000A2FC7"/>
    <w:rsid w:val="000A3A6D"/>
    <w:rsid w:val="000A525A"/>
    <w:rsid w:val="000B2AC4"/>
    <w:rsid w:val="000B4B1C"/>
    <w:rsid w:val="000B7BE6"/>
    <w:rsid w:val="000C43B4"/>
    <w:rsid w:val="000C7929"/>
    <w:rsid w:val="000D4AC1"/>
    <w:rsid w:val="000E1A22"/>
    <w:rsid w:val="000E2591"/>
    <w:rsid w:val="000E3DD1"/>
    <w:rsid w:val="000F023D"/>
    <w:rsid w:val="000F57CE"/>
    <w:rsid w:val="000F594D"/>
    <w:rsid w:val="000F670E"/>
    <w:rsid w:val="00106818"/>
    <w:rsid w:val="0011118C"/>
    <w:rsid w:val="00127D21"/>
    <w:rsid w:val="0013652F"/>
    <w:rsid w:val="00160CDF"/>
    <w:rsid w:val="00165102"/>
    <w:rsid w:val="00170AE6"/>
    <w:rsid w:val="00177B05"/>
    <w:rsid w:val="001814D9"/>
    <w:rsid w:val="00183B13"/>
    <w:rsid w:val="00185C40"/>
    <w:rsid w:val="00186207"/>
    <w:rsid w:val="00186516"/>
    <w:rsid w:val="0018675B"/>
    <w:rsid w:val="001922A3"/>
    <w:rsid w:val="001A299D"/>
    <w:rsid w:val="001A310B"/>
    <w:rsid w:val="001B05C8"/>
    <w:rsid w:val="001B38E4"/>
    <w:rsid w:val="001B5EA9"/>
    <w:rsid w:val="001B6CDC"/>
    <w:rsid w:val="001C1831"/>
    <w:rsid w:val="001C4551"/>
    <w:rsid w:val="001D38E4"/>
    <w:rsid w:val="001D476D"/>
    <w:rsid w:val="001D7053"/>
    <w:rsid w:val="001E1953"/>
    <w:rsid w:val="001E6FF0"/>
    <w:rsid w:val="001F1394"/>
    <w:rsid w:val="001F21C2"/>
    <w:rsid w:val="001F56AA"/>
    <w:rsid w:val="00200A1C"/>
    <w:rsid w:val="00201EEA"/>
    <w:rsid w:val="002065CD"/>
    <w:rsid w:val="0022244B"/>
    <w:rsid w:val="0023015F"/>
    <w:rsid w:val="0023460C"/>
    <w:rsid w:val="00240D42"/>
    <w:rsid w:val="00243CE4"/>
    <w:rsid w:val="00246272"/>
    <w:rsid w:val="00253D27"/>
    <w:rsid w:val="00255253"/>
    <w:rsid w:val="0026093C"/>
    <w:rsid w:val="00262C67"/>
    <w:rsid w:val="00263B18"/>
    <w:rsid w:val="00265690"/>
    <w:rsid w:val="00266F76"/>
    <w:rsid w:val="002743B1"/>
    <w:rsid w:val="00274C50"/>
    <w:rsid w:val="00292A70"/>
    <w:rsid w:val="0029473E"/>
    <w:rsid w:val="002A1B9F"/>
    <w:rsid w:val="002A32D6"/>
    <w:rsid w:val="002A55D9"/>
    <w:rsid w:val="002A70AD"/>
    <w:rsid w:val="002B6797"/>
    <w:rsid w:val="002C3B37"/>
    <w:rsid w:val="002C7565"/>
    <w:rsid w:val="002C7BF9"/>
    <w:rsid w:val="002E4066"/>
    <w:rsid w:val="002E507D"/>
    <w:rsid w:val="002E6DF6"/>
    <w:rsid w:val="002F04F7"/>
    <w:rsid w:val="002F31B0"/>
    <w:rsid w:val="003022CF"/>
    <w:rsid w:val="00303CC2"/>
    <w:rsid w:val="00306099"/>
    <w:rsid w:val="00317057"/>
    <w:rsid w:val="003213A5"/>
    <w:rsid w:val="00326867"/>
    <w:rsid w:val="003319FC"/>
    <w:rsid w:val="00334974"/>
    <w:rsid w:val="0034177E"/>
    <w:rsid w:val="0034304C"/>
    <w:rsid w:val="00343698"/>
    <w:rsid w:val="00343EF3"/>
    <w:rsid w:val="003442B3"/>
    <w:rsid w:val="00344354"/>
    <w:rsid w:val="00344964"/>
    <w:rsid w:val="00350B14"/>
    <w:rsid w:val="003518AE"/>
    <w:rsid w:val="00362E53"/>
    <w:rsid w:val="00363213"/>
    <w:rsid w:val="00365336"/>
    <w:rsid w:val="00371687"/>
    <w:rsid w:val="00377974"/>
    <w:rsid w:val="00377FB1"/>
    <w:rsid w:val="00380228"/>
    <w:rsid w:val="003872B9"/>
    <w:rsid w:val="00391EFD"/>
    <w:rsid w:val="003A02A8"/>
    <w:rsid w:val="003A17D0"/>
    <w:rsid w:val="003B2E09"/>
    <w:rsid w:val="003B6B2B"/>
    <w:rsid w:val="003C2A77"/>
    <w:rsid w:val="003C4E63"/>
    <w:rsid w:val="003C6BB2"/>
    <w:rsid w:val="003D5AFC"/>
    <w:rsid w:val="003D6917"/>
    <w:rsid w:val="003E1D03"/>
    <w:rsid w:val="003F2284"/>
    <w:rsid w:val="003F3B04"/>
    <w:rsid w:val="003F655C"/>
    <w:rsid w:val="00403EB1"/>
    <w:rsid w:val="00412460"/>
    <w:rsid w:val="004164F2"/>
    <w:rsid w:val="00421EDD"/>
    <w:rsid w:val="00423977"/>
    <w:rsid w:val="00426B60"/>
    <w:rsid w:val="00430A2C"/>
    <w:rsid w:val="00431047"/>
    <w:rsid w:val="004339B4"/>
    <w:rsid w:val="00441BEF"/>
    <w:rsid w:val="00446F3C"/>
    <w:rsid w:val="00461575"/>
    <w:rsid w:val="0046501D"/>
    <w:rsid w:val="0047251E"/>
    <w:rsid w:val="0047360B"/>
    <w:rsid w:val="00475B02"/>
    <w:rsid w:val="0048322C"/>
    <w:rsid w:val="00484007"/>
    <w:rsid w:val="004938D6"/>
    <w:rsid w:val="004B472D"/>
    <w:rsid w:val="004B5272"/>
    <w:rsid w:val="004C5398"/>
    <w:rsid w:val="004D02FA"/>
    <w:rsid w:val="004D615B"/>
    <w:rsid w:val="004E20FF"/>
    <w:rsid w:val="004F2F4C"/>
    <w:rsid w:val="004F3EF9"/>
    <w:rsid w:val="004F435C"/>
    <w:rsid w:val="004F5D93"/>
    <w:rsid w:val="004F72BA"/>
    <w:rsid w:val="00502506"/>
    <w:rsid w:val="00510A04"/>
    <w:rsid w:val="005110F4"/>
    <w:rsid w:val="0051376B"/>
    <w:rsid w:val="00515947"/>
    <w:rsid w:val="005163B2"/>
    <w:rsid w:val="005216C4"/>
    <w:rsid w:val="00525577"/>
    <w:rsid w:val="00534D88"/>
    <w:rsid w:val="00543FC7"/>
    <w:rsid w:val="00544F52"/>
    <w:rsid w:val="00556CEE"/>
    <w:rsid w:val="005803B4"/>
    <w:rsid w:val="005872C0"/>
    <w:rsid w:val="005926BC"/>
    <w:rsid w:val="00593695"/>
    <w:rsid w:val="00596760"/>
    <w:rsid w:val="00596FF3"/>
    <w:rsid w:val="005A03A1"/>
    <w:rsid w:val="005A3A53"/>
    <w:rsid w:val="005A712B"/>
    <w:rsid w:val="005C078F"/>
    <w:rsid w:val="005D20E1"/>
    <w:rsid w:val="005E3C5B"/>
    <w:rsid w:val="005E51BD"/>
    <w:rsid w:val="005E5A1D"/>
    <w:rsid w:val="005F26BC"/>
    <w:rsid w:val="005F633A"/>
    <w:rsid w:val="0060230D"/>
    <w:rsid w:val="00603A42"/>
    <w:rsid w:val="00603B78"/>
    <w:rsid w:val="00604726"/>
    <w:rsid w:val="006079C8"/>
    <w:rsid w:val="00607C57"/>
    <w:rsid w:val="006158B0"/>
    <w:rsid w:val="0062154F"/>
    <w:rsid w:val="00622AE7"/>
    <w:rsid w:val="00626BD3"/>
    <w:rsid w:val="006271EB"/>
    <w:rsid w:val="00636DCF"/>
    <w:rsid w:val="00637FB4"/>
    <w:rsid w:val="00644E2B"/>
    <w:rsid w:val="00645BFE"/>
    <w:rsid w:val="00647AE3"/>
    <w:rsid w:val="00664BA9"/>
    <w:rsid w:val="00666E63"/>
    <w:rsid w:val="00667715"/>
    <w:rsid w:val="0067234E"/>
    <w:rsid w:val="00676532"/>
    <w:rsid w:val="00680075"/>
    <w:rsid w:val="00687D3D"/>
    <w:rsid w:val="00691009"/>
    <w:rsid w:val="006921A4"/>
    <w:rsid w:val="0069414A"/>
    <w:rsid w:val="006A5A9E"/>
    <w:rsid w:val="006A78A7"/>
    <w:rsid w:val="006B11C7"/>
    <w:rsid w:val="006B6FF3"/>
    <w:rsid w:val="006D4831"/>
    <w:rsid w:val="006D4C26"/>
    <w:rsid w:val="006D7274"/>
    <w:rsid w:val="006D7700"/>
    <w:rsid w:val="006E0227"/>
    <w:rsid w:val="006E4CC8"/>
    <w:rsid w:val="006E5ECD"/>
    <w:rsid w:val="006F31FE"/>
    <w:rsid w:val="006F4AA4"/>
    <w:rsid w:val="006F7B79"/>
    <w:rsid w:val="00701B3D"/>
    <w:rsid w:val="00705E67"/>
    <w:rsid w:val="00712768"/>
    <w:rsid w:val="00717744"/>
    <w:rsid w:val="00720F29"/>
    <w:rsid w:val="0072671C"/>
    <w:rsid w:val="0072763F"/>
    <w:rsid w:val="00727826"/>
    <w:rsid w:val="00727E44"/>
    <w:rsid w:val="007356BD"/>
    <w:rsid w:val="00747078"/>
    <w:rsid w:val="00760B6D"/>
    <w:rsid w:val="00766863"/>
    <w:rsid w:val="00771B65"/>
    <w:rsid w:val="00774EC3"/>
    <w:rsid w:val="0078383D"/>
    <w:rsid w:val="00787423"/>
    <w:rsid w:val="0079093A"/>
    <w:rsid w:val="00791C3D"/>
    <w:rsid w:val="00793312"/>
    <w:rsid w:val="00794C59"/>
    <w:rsid w:val="00796132"/>
    <w:rsid w:val="007A3DC2"/>
    <w:rsid w:val="007C0ED2"/>
    <w:rsid w:val="007C1097"/>
    <w:rsid w:val="007C29DB"/>
    <w:rsid w:val="007C41C2"/>
    <w:rsid w:val="007C449F"/>
    <w:rsid w:val="007D15C1"/>
    <w:rsid w:val="007D1DCE"/>
    <w:rsid w:val="007E2B5D"/>
    <w:rsid w:val="007E624E"/>
    <w:rsid w:val="007E7641"/>
    <w:rsid w:val="00800850"/>
    <w:rsid w:val="0081396B"/>
    <w:rsid w:val="00816305"/>
    <w:rsid w:val="00817833"/>
    <w:rsid w:val="00827999"/>
    <w:rsid w:val="00830BD9"/>
    <w:rsid w:val="0083723F"/>
    <w:rsid w:val="00850AFC"/>
    <w:rsid w:val="00853929"/>
    <w:rsid w:val="00854B96"/>
    <w:rsid w:val="008553A4"/>
    <w:rsid w:val="008564A4"/>
    <w:rsid w:val="00856532"/>
    <w:rsid w:val="008568BF"/>
    <w:rsid w:val="00863A01"/>
    <w:rsid w:val="0086514E"/>
    <w:rsid w:val="008669C3"/>
    <w:rsid w:val="00883B28"/>
    <w:rsid w:val="008873D3"/>
    <w:rsid w:val="008961D3"/>
    <w:rsid w:val="008B72EA"/>
    <w:rsid w:val="008C67A7"/>
    <w:rsid w:val="008D3FEB"/>
    <w:rsid w:val="008D50C6"/>
    <w:rsid w:val="008E778F"/>
    <w:rsid w:val="008F1401"/>
    <w:rsid w:val="008F5AD8"/>
    <w:rsid w:val="00901566"/>
    <w:rsid w:val="0090463D"/>
    <w:rsid w:val="009119E5"/>
    <w:rsid w:val="00914C4E"/>
    <w:rsid w:val="009255B2"/>
    <w:rsid w:val="009312F8"/>
    <w:rsid w:val="00931DD1"/>
    <w:rsid w:val="00932D7E"/>
    <w:rsid w:val="00934CE7"/>
    <w:rsid w:val="00944056"/>
    <w:rsid w:val="00954E9F"/>
    <w:rsid w:val="0095627C"/>
    <w:rsid w:val="0096053C"/>
    <w:rsid w:val="009631B2"/>
    <w:rsid w:val="00963606"/>
    <w:rsid w:val="00966DBD"/>
    <w:rsid w:val="00967E72"/>
    <w:rsid w:val="00975863"/>
    <w:rsid w:val="0099195F"/>
    <w:rsid w:val="0099552E"/>
    <w:rsid w:val="009A5271"/>
    <w:rsid w:val="009A6DDE"/>
    <w:rsid w:val="009B754F"/>
    <w:rsid w:val="009C0B29"/>
    <w:rsid w:val="009C544A"/>
    <w:rsid w:val="009C6DBF"/>
    <w:rsid w:val="009D6BBD"/>
    <w:rsid w:val="009E089D"/>
    <w:rsid w:val="009E434D"/>
    <w:rsid w:val="009E44F2"/>
    <w:rsid w:val="009E4EB4"/>
    <w:rsid w:val="009F2BC3"/>
    <w:rsid w:val="009F6F25"/>
    <w:rsid w:val="00A04BE7"/>
    <w:rsid w:val="00A15F03"/>
    <w:rsid w:val="00A22B73"/>
    <w:rsid w:val="00A27D80"/>
    <w:rsid w:val="00A305ED"/>
    <w:rsid w:val="00A311B5"/>
    <w:rsid w:val="00A3329E"/>
    <w:rsid w:val="00A36B02"/>
    <w:rsid w:val="00A373BC"/>
    <w:rsid w:val="00A37DBA"/>
    <w:rsid w:val="00A40DCC"/>
    <w:rsid w:val="00A41420"/>
    <w:rsid w:val="00A52B7F"/>
    <w:rsid w:val="00A5433B"/>
    <w:rsid w:val="00A63D0C"/>
    <w:rsid w:val="00A70E84"/>
    <w:rsid w:val="00A713FB"/>
    <w:rsid w:val="00A734B8"/>
    <w:rsid w:val="00A73C96"/>
    <w:rsid w:val="00A75F75"/>
    <w:rsid w:val="00A809D4"/>
    <w:rsid w:val="00A93D6D"/>
    <w:rsid w:val="00A96780"/>
    <w:rsid w:val="00A96C0F"/>
    <w:rsid w:val="00A97624"/>
    <w:rsid w:val="00AA6158"/>
    <w:rsid w:val="00AA6D73"/>
    <w:rsid w:val="00AB0A06"/>
    <w:rsid w:val="00AB56CE"/>
    <w:rsid w:val="00AC1E8E"/>
    <w:rsid w:val="00AC4F10"/>
    <w:rsid w:val="00AC595E"/>
    <w:rsid w:val="00AD2C47"/>
    <w:rsid w:val="00AD3733"/>
    <w:rsid w:val="00AD5589"/>
    <w:rsid w:val="00AE7B4B"/>
    <w:rsid w:val="00B02BCA"/>
    <w:rsid w:val="00B10A35"/>
    <w:rsid w:val="00B1614B"/>
    <w:rsid w:val="00B232B0"/>
    <w:rsid w:val="00B25AB8"/>
    <w:rsid w:val="00B3136B"/>
    <w:rsid w:val="00B32032"/>
    <w:rsid w:val="00B32281"/>
    <w:rsid w:val="00B54DA3"/>
    <w:rsid w:val="00B6411D"/>
    <w:rsid w:val="00B74467"/>
    <w:rsid w:val="00B851F5"/>
    <w:rsid w:val="00B92AC1"/>
    <w:rsid w:val="00B92F49"/>
    <w:rsid w:val="00BA7897"/>
    <w:rsid w:val="00BB3AA5"/>
    <w:rsid w:val="00BC2E47"/>
    <w:rsid w:val="00BC6101"/>
    <w:rsid w:val="00BC6A21"/>
    <w:rsid w:val="00BC73A1"/>
    <w:rsid w:val="00BC766A"/>
    <w:rsid w:val="00BD110D"/>
    <w:rsid w:val="00BD16C3"/>
    <w:rsid w:val="00BD3636"/>
    <w:rsid w:val="00BE0172"/>
    <w:rsid w:val="00BE0843"/>
    <w:rsid w:val="00BE1E9F"/>
    <w:rsid w:val="00BE27BA"/>
    <w:rsid w:val="00BE37CB"/>
    <w:rsid w:val="00BF251B"/>
    <w:rsid w:val="00BF2B55"/>
    <w:rsid w:val="00BF3AD8"/>
    <w:rsid w:val="00BF525E"/>
    <w:rsid w:val="00C134C3"/>
    <w:rsid w:val="00C17330"/>
    <w:rsid w:val="00C23309"/>
    <w:rsid w:val="00C27AD8"/>
    <w:rsid w:val="00C359A3"/>
    <w:rsid w:val="00C35CFF"/>
    <w:rsid w:val="00C36FB3"/>
    <w:rsid w:val="00C37290"/>
    <w:rsid w:val="00C420ED"/>
    <w:rsid w:val="00C43F27"/>
    <w:rsid w:val="00C562AF"/>
    <w:rsid w:val="00C570DB"/>
    <w:rsid w:val="00C573D6"/>
    <w:rsid w:val="00C66B3F"/>
    <w:rsid w:val="00C7015C"/>
    <w:rsid w:val="00C77014"/>
    <w:rsid w:val="00C81583"/>
    <w:rsid w:val="00C82644"/>
    <w:rsid w:val="00C82C8B"/>
    <w:rsid w:val="00C864F2"/>
    <w:rsid w:val="00C9443C"/>
    <w:rsid w:val="00CA33BE"/>
    <w:rsid w:val="00CA64CA"/>
    <w:rsid w:val="00CB0BF5"/>
    <w:rsid w:val="00CB30B5"/>
    <w:rsid w:val="00CC07CE"/>
    <w:rsid w:val="00CC5A91"/>
    <w:rsid w:val="00CC6D13"/>
    <w:rsid w:val="00CD0B6D"/>
    <w:rsid w:val="00CD26F4"/>
    <w:rsid w:val="00CD7094"/>
    <w:rsid w:val="00CD7AF2"/>
    <w:rsid w:val="00CE3085"/>
    <w:rsid w:val="00CE59B9"/>
    <w:rsid w:val="00CF30C2"/>
    <w:rsid w:val="00CF7094"/>
    <w:rsid w:val="00D000BC"/>
    <w:rsid w:val="00D34248"/>
    <w:rsid w:val="00D34833"/>
    <w:rsid w:val="00D4492A"/>
    <w:rsid w:val="00D55739"/>
    <w:rsid w:val="00D57873"/>
    <w:rsid w:val="00D578FB"/>
    <w:rsid w:val="00D62565"/>
    <w:rsid w:val="00D62E04"/>
    <w:rsid w:val="00D63D68"/>
    <w:rsid w:val="00D64101"/>
    <w:rsid w:val="00D64633"/>
    <w:rsid w:val="00D64DDE"/>
    <w:rsid w:val="00D67240"/>
    <w:rsid w:val="00D718A1"/>
    <w:rsid w:val="00D73B09"/>
    <w:rsid w:val="00D75F39"/>
    <w:rsid w:val="00D80D8E"/>
    <w:rsid w:val="00D95CCD"/>
    <w:rsid w:val="00DA2D83"/>
    <w:rsid w:val="00DB60AA"/>
    <w:rsid w:val="00DC7851"/>
    <w:rsid w:val="00DC78FD"/>
    <w:rsid w:val="00DD26FB"/>
    <w:rsid w:val="00DE17C1"/>
    <w:rsid w:val="00DE293E"/>
    <w:rsid w:val="00DE2D2A"/>
    <w:rsid w:val="00DF19D1"/>
    <w:rsid w:val="00E02D33"/>
    <w:rsid w:val="00E030B5"/>
    <w:rsid w:val="00E06BC7"/>
    <w:rsid w:val="00E07CDA"/>
    <w:rsid w:val="00E10134"/>
    <w:rsid w:val="00E12823"/>
    <w:rsid w:val="00E235E1"/>
    <w:rsid w:val="00E24E90"/>
    <w:rsid w:val="00E272DC"/>
    <w:rsid w:val="00E40F41"/>
    <w:rsid w:val="00E415F8"/>
    <w:rsid w:val="00E41AAA"/>
    <w:rsid w:val="00E45381"/>
    <w:rsid w:val="00E51AF7"/>
    <w:rsid w:val="00E83120"/>
    <w:rsid w:val="00E84429"/>
    <w:rsid w:val="00E84A83"/>
    <w:rsid w:val="00E84BE7"/>
    <w:rsid w:val="00E931EF"/>
    <w:rsid w:val="00E95385"/>
    <w:rsid w:val="00E97053"/>
    <w:rsid w:val="00EA15DB"/>
    <w:rsid w:val="00EA75C3"/>
    <w:rsid w:val="00EB66E7"/>
    <w:rsid w:val="00EE1444"/>
    <w:rsid w:val="00EF6CA6"/>
    <w:rsid w:val="00F02BE7"/>
    <w:rsid w:val="00F12D37"/>
    <w:rsid w:val="00F14AC2"/>
    <w:rsid w:val="00F233BE"/>
    <w:rsid w:val="00F2343A"/>
    <w:rsid w:val="00F23C84"/>
    <w:rsid w:val="00F246EF"/>
    <w:rsid w:val="00F327ED"/>
    <w:rsid w:val="00F334B2"/>
    <w:rsid w:val="00F36782"/>
    <w:rsid w:val="00F42403"/>
    <w:rsid w:val="00F42C31"/>
    <w:rsid w:val="00F444D3"/>
    <w:rsid w:val="00F45509"/>
    <w:rsid w:val="00F50B5E"/>
    <w:rsid w:val="00F5181F"/>
    <w:rsid w:val="00F531F7"/>
    <w:rsid w:val="00F5498D"/>
    <w:rsid w:val="00F558AD"/>
    <w:rsid w:val="00F56F9A"/>
    <w:rsid w:val="00F62E6D"/>
    <w:rsid w:val="00F63BED"/>
    <w:rsid w:val="00F643C5"/>
    <w:rsid w:val="00F64526"/>
    <w:rsid w:val="00F66C21"/>
    <w:rsid w:val="00F8464F"/>
    <w:rsid w:val="00F8675E"/>
    <w:rsid w:val="00F87537"/>
    <w:rsid w:val="00F87858"/>
    <w:rsid w:val="00F925DB"/>
    <w:rsid w:val="00F92B2B"/>
    <w:rsid w:val="00F94603"/>
    <w:rsid w:val="00FA5712"/>
    <w:rsid w:val="00FA73A0"/>
    <w:rsid w:val="00FB047E"/>
    <w:rsid w:val="00FB272B"/>
    <w:rsid w:val="00FB73C3"/>
    <w:rsid w:val="00FC280A"/>
    <w:rsid w:val="00FD55C6"/>
    <w:rsid w:val="00FD6A56"/>
    <w:rsid w:val="00FD7CF0"/>
    <w:rsid w:val="00FE44D4"/>
    <w:rsid w:val="00FE4B36"/>
    <w:rsid w:val="00FE4D76"/>
    <w:rsid w:val="00FF0690"/>
    <w:rsid w:val="00FF2599"/>
    <w:rsid w:val="00FF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D222FEA-ABB3-4DD8-B31E-37CD930A5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Заголовок параграфа (1.),Section,level2 hdg,111"/>
    <w:basedOn w:val="a"/>
    <w:link w:val="10"/>
    <w:autoRedefine/>
    <w:qFormat/>
    <w:rsid w:val="001F21C2"/>
    <w:pPr>
      <w:keepNext/>
      <w:tabs>
        <w:tab w:val="num" w:pos="1080"/>
      </w:tabs>
      <w:spacing w:before="240" w:after="240" w:line="240" w:lineRule="auto"/>
      <w:ind w:left="1080" w:hanging="360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"/>
    <w:next w:val="a"/>
    <w:link w:val="20"/>
    <w:qFormat/>
    <w:rsid w:val="00D64101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"/>
    <w:next w:val="a"/>
    <w:link w:val="30"/>
    <w:uiPriority w:val="9"/>
    <w:qFormat/>
    <w:rsid w:val="00FE44D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1F21C2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E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"/>
    <w:rsid w:val="00F87537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4">
    <w:name w:val="Hyperlink"/>
    <w:uiPriority w:val="99"/>
    <w:unhideWhenUsed/>
    <w:rsid w:val="00F246EF"/>
    <w:rPr>
      <w:color w:val="0000FF"/>
      <w:u w:val="single"/>
    </w:rPr>
  </w:style>
  <w:style w:type="paragraph" w:styleId="a5">
    <w:name w:val="Body Text"/>
    <w:basedOn w:val="a"/>
    <w:link w:val="a6"/>
    <w:rsid w:val="00B02BCA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6">
    <w:name w:val="Основной текст Знак"/>
    <w:link w:val="a5"/>
    <w:rsid w:val="00B02BCA"/>
    <w:rPr>
      <w:rFonts w:ascii="Garamond" w:eastAsia="Times New Roman" w:hAnsi="Garamond"/>
      <w:sz w:val="22"/>
      <w:lang w:val="en-GB" w:eastAsia="en-US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link w:val="2"/>
    <w:rsid w:val="00D64101"/>
    <w:rPr>
      <w:rFonts w:ascii="Times New Roman" w:eastAsia="Times New Roman" w:hAnsi="Times New Roman"/>
      <w:b/>
      <w:bCs/>
    </w:rPr>
  </w:style>
  <w:style w:type="character" w:customStyle="1" w:styleId="30">
    <w:name w:val="Заголовок 3 Знак"/>
    <w:aliases w:val="H3 Знак,Заголовок подпукта (1.1.1) Знак,Level 1 - 1 Знак,o Знак"/>
    <w:link w:val="3"/>
    <w:uiPriority w:val="9"/>
    <w:semiHidden/>
    <w:rsid w:val="00FE44D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1F21C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link w:val="1"/>
    <w:rsid w:val="001F21C2"/>
    <w:rPr>
      <w:rFonts w:ascii="Garamond" w:eastAsia="Times New Roman" w:hAnsi="Garamond"/>
      <w:b/>
      <w:bCs/>
      <w:caps/>
      <w:color w:val="000000"/>
      <w:kern w:val="28"/>
      <w:sz w:val="22"/>
      <w:szCs w:val="22"/>
      <w:lang w:eastAsia="en-US"/>
    </w:rPr>
  </w:style>
  <w:style w:type="paragraph" w:customStyle="1" w:styleId="subsubclauseindent">
    <w:name w:val="subsubclauseindent"/>
    <w:basedOn w:val="a"/>
    <w:rsid w:val="001F21C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7">
    <w:name w:val="Body Text Indent"/>
    <w:basedOn w:val="a"/>
    <w:link w:val="a8"/>
    <w:uiPriority w:val="99"/>
    <w:unhideWhenUsed/>
    <w:rsid w:val="000B2AC4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rsid w:val="000B2AC4"/>
    <w:rPr>
      <w:sz w:val="22"/>
      <w:szCs w:val="22"/>
      <w:lang w:eastAsia="en-US"/>
    </w:rPr>
  </w:style>
  <w:style w:type="paragraph" w:customStyle="1" w:styleId="31">
    <w:name w:val="Основной текст с отступом 31"/>
    <w:basedOn w:val="a"/>
    <w:rsid w:val="00170AE6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"/>
    <w:rsid w:val="00AE7B4B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"/>
    <w:rsid w:val="002F31B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semiHidden/>
    <w:rsid w:val="003B6B2B"/>
    <w:rPr>
      <w:rFonts w:ascii="Tahoma" w:hAnsi="Tahoma" w:cs="Tahoma"/>
      <w:sz w:val="16"/>
      <w:szCs w:val="16"/>
    </w:rPr>
  </w:style>
  <w:style w:type="paragraph" w:styleId="aa">
    <w:name w:val="caption"/>
    <w:basedOn w:val="a"/>
    <w:qFormat/>
    <w:rsid w:val="00CA33BE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b">
    <w:name w:val="Знак Знак Знак Знак"/>
    <w:basedOn w:val="a"/>
    <w:rsid w:val="005E5A1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Title"/>
    <w:basedOn w:val="a"/>
    <w:link w:val="ad"/>
    <w:qFormat/>
    <w:rsid w:val="00365336"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d">
    <w:name w:val="Название Знак"/>
    <w:link w:val="ac"/>
    <w:rsid w:val="00365336"/>
    <w:rPr>
      <w:rFonts w:ascii="Garamond" w:eastAsia="Times New Roman" w:hAnsi="Garamond"/>
      <w:b/>
      <w:bCs/>
      <w:sz w:val="32"/>
      <w:szCs w:val="24"/>
    </w:rPr>
  </w:style>
  <w:style w:type="paragraph" w:styleId="32">
    <w:name w:val="Body Text 3"/>
    <w:basedOn w:val="a"/>
    <w:link w:val="33"/>
    <w:rsid w:val="005F633A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5F633A"/>
    <w:rPr>
      <w:rFonts w:ascii="Times New Roman" w:eastAsia="Times New Roman" w:hAnsi="Times New Roman"/>
      <w:sz w:val="16"/>
      <w:szCs w:val="16"/>
    </w:rPr>
  </w:style>
  <w:style w:type="paragraph" w:styleId="ae">
    <w:name w:val="List Paragraph"/>
    <w:basedOn w:val="a"/>
    <w:link w:val="af"/>
    <w:uiPriority w:val="99"/>
    <w:qFormat/>
    <w:rsid w:val="00FC280A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uiPriority w:val="99"/>
    <w:semiHidden/>
    <w:unhideWhenUsed/>
    <w:rsid w:val="000E3DD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E3DD1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uiPriority w:val="99"/>
    <w:semiHidden/>
    <w:rsid w:val="000E3DD1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E3DD1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0E3DD1"/>
    <w:rPr>
      <w:b/>
      <w:bCs/>
      <w:lang w:eastAsia="en-US"/>
    </w:rPr>
  </w:style>
  <w:style w:type="paragraph" w:styleId="22">
    <w:name w:val="List Number 2"/>
    <w:basedOn w:val="a"/>
    <w:rsid w:val="0078383D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5">
    <w:name w:val="Strong"/>
    <w:uiPriority w:val="22"/>
    <w:qFormat/>
    <w:rsid w:val="0078383D"/>
    <w:rPr>
      <w:b/>
      <w:bCs/>
    </w:rPr>
  </w:style>
  <w:style w:type="paragraph" w:styleId="af6">
    <w:name w:val="Normal (Web)"/>
    <w:basedOn w:val="a"/>
    <w:uiPriority w:val="99"/>
    <w:rsid w:val="00783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8">
    <w:name w:val="Верхний колонтитул Знак"/>
    <w:link w:val="af7"/>
    <w:uiPriority w:val="99"/>
    <w:rsid w:val="00A305ED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unhideWhenUsed/>
    <w:rsid w:val="00A305E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a">
    <w:name w:val="Нижний колонтитул Знак"/>
    <w:link w:val="af9"/>
    <w:uiPriority w:val="99"/>
    <w:rsid w:val="00A305ED"/>
    <w:rPr>
      <w:sz w:val="22"/>
      <w:szCs w:val="22"/>
      <w:lang w:eastAsia="en-US"/>
    </w:rPr>
  </w:style>
  <w:style w:type="paragraph" w:customStyle="1" w:styleId="ConsPlusNormal">
    <w:name w:val="ConsPlusNormal"/>
    <w:rsid w:val="002B67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4">
    <w:name w:val="toc 3"/>
    <w:basedOn w:val="a"/>
    <w:next w:val="a"/>
    <w:uiPriority w:val="39"/>
    <w:rsid w:val="00A40DCC"/>
    <w:pPr>
      <w:spacing w:after="0" w:line="360" w:lineRule="auto"/>
      <w:ind w:left="220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Абзац списка Знак"/>
    <w:link w:val="ae"/>
    <w:uiPriority w:val="99"/>
    <w:rsid w:val="00A40DCC"/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.FORMATTEXT"/>
    <w:uiPriority w:val="99"/>
    <w:rsid w:val="0018651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DD0C8-4BF0-4421-8548-0162C515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2022</Words>
  <Characters>11527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</vt:lpstr>
    </vt:vector>
  </TitlesOfParts>
  <Company>Hewlett-Packard Company</Company>
  <LinksUpToDate>false</LinksUpToDate>
  <CharactersWithSpaces>13522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</dc:title>
  <dc:subject/>
  <dc:creator>Geil_YV</dc:creator>
  <cp:keywords/>
  <cp:lastModifiedBy>Гирина Марина Владимировна</cp:lastModifiedBy>
  <cp:revision>17</cp:revision>
  <cp:lastPrinted>2021-06-21T06:18:00Z</cp:lastPrinted>
  <dcterms:created xsi:type="dcterms:W3CDTF">2021-07-13T11:05:00Z</dcterms:created>
  <dcterms:modified xsi:type="dcterms:W3CDTF">2021-07-22T04:31:00Z</dcterms:modified>
</cp:coreProperties>
</file>